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212" w:type="dxa"/>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3132"/>
        <w:gridCol w:w="6080"/>
      </w:tblGrid>
      <w:tr w:rsidR="0043602A" w:rsidRPr="007C2D23" w14:paraId="25BC5C5D" w14:textId="77777777" w:rsidTr="54FC58AD">
        <w:trPr>
          <w:trHeight w:val="867"/>
        </w:trPr>
        <w:tc>
          <w:tcPr>
            <w:tcW w:w="9212" w:type="dxa"/>
            <w:gridSpan w:val="2"/>
            <w:tcBorders>
              <w:top w:val="nil"/>
              <w:bottom w:val="single" w:sz="4" w:space="0" w:color="0070C0"/>
            </w:tcBorders>
            <w:vAlign w:val="center"/>
          </w:tcPr>
          <w:p w14:paraId="53E57B69" w14:textId="798BFFED" w:rsidR="0043602A" w:rsidRPr="007C2D23" w:rsidRDefault="00DD2E6C" w:rsidP="005662A6">
            <w:pPr>
              <w:pStyle w:val="Nagwek3"/>
              <w:spacing w:before="120" w:beforeAutospacing="0" w:after="120" w:afterAutospacing="0"/>
              <w:jc w:val="center"/>
              <w:rPr>
                <w:rFonts w:asciiTheme="minorHAnsi" w:hAnsiTheme="minorHAnsi" w:cstheme="minorHAnsi"/>
                <w:bCs w:val="0"/>
                <w:color w:val="0070C0"/>
                <w:sz w:val="32"/>
                <w:szCs w:val="32"/>
              </w:rPr>
            </w:pPr>
            <w:proofErr w:type="spellStart"/>
            <w:r w:rsidRPr="009A02C9">
              <w:rPr>
                <w:rFonts w:asciiTheme="minorHAnsi" w:hAnsiTheme="minorHAnsi" w:cstheme="minorHAnsi"/>
                <w:bCs w:val="0"/>
                <w:color w:val="0070C0"/>
                <w:sz w:val="32"/>
                <w:szCs w:val="32"/>
              </w:rPr>
              <w:t>Employment</w:t>
            </w:r>
            <w:proofErr w:type="spellEnd"/>
            <w:r w:rsidRPr="009A02C9">
              <w:rPr>
                <w:rFonts w:asciiTheme="minorHAnsi" w:hAnsiTheme="minorHAnsi" w:cstheme="minorHAnsi"/>
                <w:bCs w:val="0"/>
                <w:color w:val="0070C0"/>
                <w:sz w:val="32"/>
                <w:szCs w:val="32"/>
              </w:rPr>
              <w:t xml:space="preserve"> </w:t>
            </w:r>
            <w:proofErr w:type="spellStart"/>
            <w:r w:rsidRPr="009A02C9">
              <w:rPr>
                <w:rFonts w:asciiTheme="minorHAnsi" w:hAnsiTheme="minorHAnsi" w:cstheme="minorHAnsi"/>
                <w:bCs w:val="0"/>
                <w:color w:val="0070C0"/>
                <w:sz w:val="32"/>
                <w:szCs w:val="32"/>
              </w:rPr>
              <w:t>Offer</w:t>
            </w:r>
            <w:proofErr w:type="spellEnd"/>
            <w:r w:rsidRPr="009A02C9">
              <w:rPr>
                <w:rFonts w:asciiTheme="minorHAnsi" w:hAnsiTheme="minorHAnsi" w:cstheme="minorHAnsi"/>
                <w:bCs w:val="0"/>
                <w:color w:val="0070C0"/>
                <w:sz w:val="32"/>
                <w:szCs w:val="32"/>
              </w:rPr>
              <w:t xml:space="preserve"> – </w:t>
            </w:r>
            <w:proofErr w:type="spellStart"/>
            <w:r w:rsidRPr="009A02C9">
              <w:rPr>
                <w:rFonts w:asciiTheme="minorHAnsi" w:hAnsiTheme="minorHAnsi" w:cstheme="minorHAnsi"/>
                <w:bCs w:val="0"/>
                <w:color w:val="0070C0"/>
                <w:sz w:val="32"/>
                <w:szCs w:val="32"/>
              </w:rPr>
              <w:t>PhD</w:t>
            </w:r>
            <w:proofErr w:type="spellEnd"/>
            <w:r w:rsidRPr="009A02C9">
              <w:rPr>
                <w:rFonts w:asciiTheme="minorHAnsi" w:hAnsiTheme="minorHAnsi" w:cstheme="minorHAnsi"/>
                <w:bCs w:val="0"/>
                <w:color w:val="0070C0"/>
                <w:sz w:val="32"/>
                <w:szCs w:val="32"/>
              </w:rPr>
              <w:t xml:space="preserve"> Student</w:t>
            </w:r>
          </w:p>
        </w:tc>
      </w:tr>
      <w:tr w:rsidR="00DD2E6C" w:rsidRPr="0016777D" w14:paraId="597533C9"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63020DE" w14:textId="19FB51A3"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Position</w:t>
            </w:r>
            <w:proofErr w:type="spellEnd"/>
            <w:r w:rsidRPr="009A02C9">
              <w:rPr>
                <w:rFonts w:asciiTheme="minorHAnsi" w:hAnsiTheme="minorHAnsi" w:cstheme="minorHAnsi"/>
                <w:b w:val="0"/>
                <w:sz w:val="22"/>
                <w:szCs w:val="22"/>
              </w:rPr>
              <w:t xml:space="preserve"> in the </w:t>
            </w:r>
            <w:proofErr w:type="spellStart"/>
            <w:r w:rsidRPr="009A02C9">
              <w:rPr>
                <w:rFonts w:asciiTheme="minorHAnsi" w:hAnsiTheme="minorHAnsi" w:cstheme="minorHAnsi"/>
                <w:b w:val="0"/>
                <w:sz w:val="22"/>
                <w:szCs w:val="22"/>
              </w:rPr>
              <w:t>project</w:t>
            </w:r>
            <w:proofErr w:type="spellEnd"/>
            <w:r w:rsidRPr="009A02C9">
              <w:rPr>
                <w:rFonts w:asciiTheme="minorHAnsi" w:hAnsiTheme="minorHAnsi" w:cstheme="minorHAnsi"/>
                <w:b w:val="0"/>
                <w:sz w:val="22"/>
                <w:szCs w:val="22"/>
              </w:rPr>
              <w:t>:</w:t>
            </w:r>
          </w:p>
        </w:tc>
        <w:tc>
          <w:tcPr>
            <w:tcW w:w="6080" w:type="dxa"/>
            <w:tcBorders>
              <w:top w:val="single" w:sz="4" w:space="0" w:color="0070C0"/>
              <w:left w:val="nil"/>
              <w:bottom w:val="single" w:sz="4" w:space="0" w:color="0070C0"/>
            </w:tcBorders>
            <w:vAlign w:val="center"/>
          </w:tcPr>
          <w:p w14:paraId="3F69D09F" w14:textId="5A4FD34D" w:rsidR="00DD2E6C" w:rsidRPr="00FB7909" w:rsidRDefault="00DD2E6C" w:rsidP="00DD2E6C">
            <w:pPr>
              <w:pStyle w:val="Nagwek3"/>
              <w:spacing w:before="120" w:beforeAutospacing="0" w:after="120" w:afterAutospacing="0"/>
              <w:rPr>
                <w:rFonts w:asciiTheme="minorHAnsi" w:hAnsiTheme="minorHAnsi" w:cstheme="minorHAnsi"/>
                <w:bCs w:val="0"/>
                <w:sz w:val="22"/>
                <w:szCs w:val="22"/>
              </w:rPr>
            </w:pPr>
            <w:proofErr w:type="spellStart"/>
            <w:r w:rsidRPr="009A02C9">
              <w:rPr>
                <w:rFonts w:asciiTheme="minorHAnsi" w:hAnsiTheme="minorHAnsi" w:cstheme="minorHAnsi"/>
                <w:sz w:val="22"/>
                <w:szCs w:val="22"/>
              </w:rPr>
              <w:t>PhD</w:t>
            </w:r>
            <w:proofErr w:type="spellEnd"/>
            <w:r w:rsidRPr="009A02C9">
              <w:rPr>
                <w:rFonts w:asciiTheme="minorHAnsi" w:hAnsiTheme="minorHAnsi" w:cstheme="minorHAnsi"/>
                <w:sz w:val="22"/>
                <w:szCs w:val="22"/>
              </w:rPr>
              <w:t xml:space="preserve"> Student</w:t>
            </w:r>
          </w:p>
        </w:tc>
      </w:tr>
      <w:tr w:rsidR="00DD2E6C" w:rsidRPr="0016777D" w14:paraId="7B78B50B"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00507F90" w14:textId="55BAA46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Scientific</w:t>
            </w:r>
            <w:proofErr w:type="spellEnd"/>
            <w:r w:rsidRPr="009A02C9">
              <w:rPr>
                <w:rFonts w:asciiTheme="minorHAnsi" w:hAnsiTheme="minorHAnsi" w:cstheme="minorHAnsi"/>
                <w:b w:val="0"/>
                <w:sz w:val="22"/>
                <w:szCs w:val="22"/>
              </w:rPr>
              <w:t xml:space="preserve"> </w:t>
            </w:r>
            <w:proofErr w:type="spellStart"/>
            <w:r w:rsidRPr="009A02C9">
              <w:rPr>
                <w:rFonts w:asciiTheme="minorHAnsi" w:hAnsiTheme="minorHAnsi" w:cstheme="minorHAnsi"/>
                <w:b w:val="0"/>
                <w:sz w:val="22"/>
                <w:szCs w:val="22"/>
              </w:rPr>
              <w:t>discipline</w:t>
            </w:r>
            <w:proofErr w:type="spellEnd"/>
            <w:r w:rsidRPr="009A02C9">
              <w:rPr>
                <w:rFonts w:asciiTheme="minorHAnsi" w:hAnsiTheme="minorHAnsi" w:cstheme="minorHAnsi"/>
                <w:b w:val="0"/>
                <w:sz w:val="22"/>
                <w:szCs w:val="22"/>
              </w:rPr>
              <w:t>:</w:t>
            </w:r>
          </w:p>
        </w:tc>
        <w:tc>
          <w:tcPr>
            <w:tcW w:w="6080" w:type="dxa"/>
            <w:tcBorders>
              <w:top w:val="single" w:sz="4" w:space="0" w:color="0070C0"/>
              <w:left w:val="nil"/>
              <w:bottom w:val="single" w:sz="4" w:space="0" w:color="0070C0"/>
            </w:tcBorders>
            <w:vAlign w:val="center"/>
          </w:tcPr>
          <w:p w14:paraId="2B3A6D1D" w14:textId="2535698E"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Biological</w:t>
            </w:r>
            <w:proofErr w:type="spellEnd"/>
            <w:r w:rsidRPr="009A02C9">
              <w:rPr>
                <w:rFonts w:asciiTheme="minorHAnsi" w:hAnsiTheme="minorHAnsi" w:cstheme="minorHAnsi"/>
                <w:b w:val="0"/>
                <w:sz w:val="22"/>
                <w:szCs w:val="22"/>
              </w:rPr>
              <w:t xml:space="preserve"> </w:t>
            </w:r>
            <w:proofErr w:type="spellStart"/>
            <w:r w:rsidRPr="009A02C9">
              <w:rPr>
                <w:rFonts w:asciiTheme="minorHAnsi" w:hAnsiTheme="minorHAnsi" w:cstheme="minorHAnsi"/>
                <w:b w:val="0"/>
                <w:sz w:val="22"/>
                <w:szCs w:val="22"/>
              </w:rPr>
              <w:t>Sciences</w:t>
            </w:r>
            <w:proofErr w:type="spellEnd"/>
          </w:p>
        </w:tc>
      </w:tr>
      <w:tr w:rsidR="00DD2E6C" w:rsidRPr="0016777D" w14:paraId="1C864310"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60C66878" w14:textId="7FDE434E" w:rsidR="00DD2E6C" w:rsidRPr="00DD2E6C" w:rsidRDefault="00DD2E6C" w:rsidP="00DD2E6C">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Type of employment (employment contract/scholarship):</w:t>
            </w:r>
          </w:p>
        </w:tc>
        <w:tc>
          <w:tcPr>
            <w:tcW w:w="6080" w:type="dxa"/>
            <w:tcBorders>
              <w:top w:val="single" w:sz="4" w:space="0" w:color="0070C0"/>
              <w:left w:val="nil"/>
              <w:bottom w:val="single" w:sz="4" w:space="0" w:color="0070C0"/>
            </w:tcBorders>
            <w:vAlign w:val="center"/>
          </w:tcPr>
          <w:p w14:paraId="36A2BF00" w14:textId="18863B9F" w:rsidR="00DD2E6C" w:rsidRPr="00FB7909" w:rsidRDefault="00DD2E6C" w:rsidP="00DD2E6C">
            <w:pPr>
              <w:pStyle w:val="Nagwek3"/>
              <w:spacing w:before="120" w:beforeAutospacing="0" w:after="120" w:afterAutospacing="0"/>
              <w:rPr>
                <w:rFonts w:asciiTheme="minorHAnsi" w:hAnsiTheme="minorHAnsi" w:cstheme="minorHAnsi"/>
                <w:bCs w:val="0"/>
                <w:sz w:val="22"/>
                <w:szCs w:val="22"/>
                <w:lang w:val="en-US"/>
              </w:rPr>
            </w:pPr>
            <w:r w:rsidRPr="009A02C9">
              <w:rPr>
                <w:rFonts w:asciiTheme="minorHAnsi" w:hAnsiTheme="minorHAnsi" w:cstheme="minorHAnsi"/>
                <w:sz w:val="22"/>
                <w:szCs w:val="22"/>
                <w:lang w:val="en-US"/>
              </w:rPr>
              <w:t>Research scholarship</w:t>
            </w:r>
          </w:p>
        </w:tc>
      </w:tr>
      <w:tr w:rsidR="00DD2E6C" w:rsidRPr="0016777D" w14:paraId="0F4764A2"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65C76B0B" w14:textId="462F931D"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sz w:val="22"/>
                <w:szCs w:val="22"/>
              </w:rPr>
              <w:t>Number</w:t>
            </w:r>
            <w:proofErr w:type="spellEnd"/>
            <w:r w:rsidRPr="009A02C9">
              <w:rPr>
                <w:rFonts w:asciiTheme="minorHAnsi" w:hAnsiTheme="minorHAnsi" w:cstheme="minorHAnsi"/>
                <w:b w:val="0"/>
                <w:sz w:val="22"/>
                <w:szCs w:val="22"/>
              </w:rPr>
              <w:t xml:space="preserve"> of </w:t>
            </w:r>
            <w:proofErr w:type="spellStart"/>
            <w:r w:rsidRPr="009A02C9">
              <w:rPr>
                <w:rFonts w:asciiTheme="minorHAnsi" w:hAnsiTheme="minorHAnsi" w:cstheme="minorHAnsi"/>
                <w:b w:val="0"/>
                <w:sz w:val="22"/>
                <w:szCs w:val="22"/>
              </w:rPr>
              <w:t>positions</w:t>
            </w:r>
            <w:proofErr w:type="spellEnd"/>
            <w:r w:rsidRPr="009A02C9">
              <w:rPr>
                <w:rFonts w:asciiTheme="minorHAnsi" w:hAnsiTheme="minorHAnsi" w:cstheme="minorHAnsi"/>
                <w:b w:val="0"/>
                <w:sz w:val="22"/>
                <w:szCs w:val="22"/>
              </w:rPr>
              <w:t>:</w:t>
            </w:r>
          </w:p>
        </w:tc>
        <w:tc>
          <w:tcPr>
            <w:tcW w:w="6080" w:type="dxa"/>
            <w:tcBorders>
              <w:top w:val="single" w:sz="4" w:space="0" w:color="0070C0"/>
              <w:left w:val="nil"/>
              <w:bottom w:val="single" w:sz="4" w:space="0" w:color="0070C0"/>
            </w:tcBorders>
            <w:vAlign w:val="center"/>
          </w:tcPr>
          <w:p w14:paraId="2E62619C" w14:textId="6493D5F6"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sz w:val="22"/>
                <w:szCs w:val="22"/>
              </w:rPr>
              <w:t>1</w:t>
            </w:r>
          </w:p>
        </w:tc>
      </w:tr>
      <w:tr w:rsidR="00DD2E6C" w:rsidRPr="00DD2E6C" w14:paraId="5DCAF60F"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0EC4EDA" w14:textId="665C2702"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proofErr w:type="spellStart"/>
            <w:r w:rsidRPr="009A02C9">
              <w:rPr>
                <w:rFonts w:asciiTheme="minorHAnsi" w:hAnsiTheme="minorHAnsi" w:cstheme="minorHAnsi"/>
                <w:b w:val="0"/>
                <w:bCs w:val="0"/>
                <w:sz w:val="22"/>
                <w:szCs w:val="22"/>
              </w:rPr>
              <w:t>Monthly</w:t>
            </w:r>
            <w:proofErr w:type="spellEnd"/>
            <w:r w:rsidRPr="009A02C9">
              <w:rPr>
                <w:rFonts w:asciiTheme="minorHAnsi" w:hAnsiTheme="minorHAnsi" w:cstheme="minorHAnsi"/>
                <w:b w:val="0"/>
                <w:bCs w:val="0"/>
                <w:sz w:val="22"/>
                <w:szCs w:val="22"/>
              </w:rPr>
              <w:t xml:space="preserve"> </w:t>
            </w:r>
            <w:proofErr w:type="spellStart"/>
            <w:r w:rsidRPr="009A02C9">
              <w:rPr>
                <w:rFonts w:asciiTheme="minorHAnsi" w:hAnsiTheme="minorHAnsi" w:cstheme="minorHAnsi"/>
                <w:b w:val="0"/>
                <w:bCs w:val="0"/>
                <w:sz w:val="22"/>
                <w:szCs w:val="22"/>
              </w:rPr>
              <w:t>salary</w:t>
            </w:r>
            <w:proofErr w:type="spellEnd"/>
            <w:r w:rsidRPr="009A02C9">
              <w:rPr>
                <w:rFonts w:asciiTheme="minorHAnsi" w:hAnsiTheme="minorHAnsi" w:cstheme="minorHAnsi"/>
                <w:b w:val="0"/>
                <w:bCs w:val="0"/>
                <w:sz w:val="22"/>
                <w:szCs w:val="22"/>
              </w:rPr>
              <w:t>/</w:t>
            </w:r>
            <w:proofErr w:type="spellStart"/>
            <w:r w:rsidRPr="009A02C9">
              <w:rPr>
                <w:rFonts w:asciiTheme="minorHAnsi" w:hAnsiTheme="minorHAnsi" w:cstheme="minorHAnsi"/>
                <w:b w:val="0"/>
                <w:bCs w:val="0"/>
                <w:sz w:val="22"/>
                <w:szCs w:val="22"/>
              </w:rPr>
              <w:t>scholarship</w:t>
            </w:r>
            <w:proofErr w:type="spellEnd"/>
            <w:r w:rsidRPr="009A02C9">
              <w:rPr>
                <w:rFonts w:asciiTheme="minorHAnsi" w:hAnsiTheme="minorHAnsi" w:cstheme="minorHAnsi"/>
                <w:b w:val="0"/>
                <w:bCs w:val="0"/>
                <w:sz w:val="22"/>
                <w:szCs w:val="22"/>
              </w:rPr>
              <w:t>:</w:t>
            </w:r>
          </w:p>
        </w:tc>
        <w:tc>
          <w:tcPr>
            <w:tcW w:w="6080" w:type="dxa"/>
            <w:tcBorders>
              <w:top w:val="single" w:sz="4" w:space="0" w:color="0070C0"/>
              <w:left w:val="nil"/>
              <w:bottom w:val="single" w:sz="4" w:space="0" w:color="0070C0"/>
            </w:tcBorders>
            <w:vAlign w:val="center"/>
          </w:tcPr>
          <w:p w14:paraId="4499DD48" w14:textId="30815C2D" w:rsidR="00DD2E6C" w:rsidRPr="00DD2E6C" w:rsidRDefault="00DD2E6C" w:rsidP="00DD2E6C">
            <w:pPr>
              <w:pStyle w:val="Nagwek3"/>
              <w:spacing w:before="120" w:beforeAutospacing="0" w:after="120" w:afterAutospacing="0"/>
              <w:rPr>
                <w:rFonts w:asciiTheme="minorHAnsi" w:hAnsiTheme="minorHAnsi" w:cstheme="minorHAnsi"/>
                <w:b w:val="0"/>
                <w:bCs w:val="0"/>
                <w:sz w:val="22"/>
                <w:szCs w:val="22"/>
                <w:lang w:val="en-GB"/>
              </w:rPr>
            </w:pPr>
            <w:r w:rsidRPr="009A02C9">
              <w:rPr>
                <w:rFonts w:asciiTheme="minorHAnsi" w:hAnsiTheme="minorHAnsi" w:cstheme="minorHAnsi"/>
                <w:b w:val="0"/>
                <w:sz w:val="22"/>
                <w:szCs w:val="22"/>
                <w:lang w:val="en-GB"/>
              </w:rPr>
              <w:t xml:space="preserve">Approx. </w:t>
            </w:r>
            <w:r w:rsidR="0097598B">
              <w:rPr>
                <w:rFonts w:asciiTheme="minorHAnsi" w:hAnsiTheme="minorHAnsi" w:cstheme="minorHAnsi"/>
                <w:b w:val="0"/>
                <w:sz w:val="22"/>
                <w:szCs w:val="22"/>
                <w:lang w:val="en-GB"/>
              </w:rPr>
              <w:t>3 529</w:t>
            </w:r>
            <w:r w:rsidRPr="009A02C9">
              <w:rPr>
                <w:rFonts w:asciiTheme="minorHAnsi" w:hAnsiTheme="minorHAnsi" w:cstheme="minorHAnsi"/>
                <w:b w:val="0"/>
                <w:sz w:val="22"/>
                <w:szCs w:val="22"/>
                <w:lang w:val="en-GB"/>
              </w:rPr>
              <w:t xml:space="preserve"> PLN per month (net) for a participant of the Doctoral School</w:t>
            </w:r>
          </w:p>
        </w:tc>
      </w:tr>
      <w:tr w:rsidR="00DD2E6C" w:rsidRPr="0016777D" w14:paraId="0D89FD1E"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E4E94A9" w14:textId="2DFD496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Start </w:t>
            </w:r>
            <w:proofErr w:type="spellStart"/>
            <w:r w:rsidRPr="009A02C9">
              <w:rPr>
                <w:rFonts w:asciiTheme="minorHAnsi" w:hAnsiTheme="minorHAnsi" w:cstheme="minorHAnsi"/>
                <w:b w:val="0"/>
                <w:bCs w:val="0"/>
                <w:sz w:val="22"/>
                <w:szCs w:val="22"/>
              </w:rPr>
              <w:t>date</w:t>
            </w:r>
            <w:proofErr w:type="spellEnd"/>
            <w:r w:rsidRPr="009A02C9">
              <w:rPr>
                <w:rFonts w:asciiTheme="minorHAnsi" w:hAnsiTheme="minorHAnsi" w:cstheme="minorHAnsi"/>
                <w:b w:val="0"/>
                <w:bCs w:val="0"/>
                <w:sz w:val="22"/>
                <w:szCs w:val="22"/>
              </w:rPr>
              <w:t>:</w:t>
            </w:r>
          </w:p>
        </w:tc>
        <w:tc>
          <w:tcPr>
            <w:tcW w:w="6080" w:type="dxa"/>
            <w:tcBorders>
              <w:top w:val="single" w:sz="4" w:space="0" w:color="0070C0"/>
              <w:left w:val="nil"/>
              <w:bottom w:val="single" w:sz="4" w:space="0" w:color="0070C0"/>
            </w:tcBorders>
            <w:vAlign w:val="center"/>
          </w:tcPr>
          <w:p w14:paraId="37A9F0DC" w14:textId="3BC52B51" w:rsidR="00DD2E6C" w:rsidRPr="00FB7909" w:rsidRDefault="00DD2E6C" w:rsidP="00DD2E6C">
            <w:pPr>
              <w:pStyle w:val="Nagwek3"/>
              <w:spacing w:before="120" w:beforeAutospacing="0" w:after="120" w:afterAutospacing="0"/>
              <w:rPr>
                <w:rFonts w:asciiTheme="minorHAnsi" w:hAnsiTheme="minorHAnsi" w:cstheme="minorHAnsi"/>
                <w:bCs w:val="0"/>
                <w:sz w:val="22"/>
                <w:szCs w:val="22"/>
              </w:rPr>
            </w:pPr>
            <w:r w:rsidRPr="00FB7909">
              <w:rPr>
                <w:rFonts w:asciiTheme="minorHAnsi" w:hAnsiTheme="minorHAnsi" w:cstheme="minorHAnsi"/>
                <w:bCs w:val="0"/>
                <w:sz w:val="22"/>
                <w:szCs w:val="22"/>
              </w:rPr>
              <w:t>01.1</w:t>
            </w:r>
            <w:r>
              <w:rPr>
                <w:rFonts w:asciiTheme="minorHAnsi" w:hAnsiTheme="minorHAnsi" w:cstheme="minorHAnsi"/>
                <w:bCs w:val="0"/>
                <w:sz w:val="22"/>
                <w:szCs w:val="22"/>
              </w:rPr>
              <w:t>2</w:t>
            </w:r>
            <w:r w:rsidRPr="00FB7909">
              <w:rPr>
                <w:rFonts w:asciiTheme="minorHAnsi" w:hAnsiTheme="minorHAnsi" w:cstheme="minorHAnsi"/>
                <w:bCs w:val="0"/>
                <w:sz w:val="22"/>
                <w:szCs w:val="22"/>
              </w:rPr>
              <w:t>.202</w:t>
            </w:r>
            <w:r>
              <w:rPr>
                <w:rFonts w:asciiTheme="minorHAnsi" w:hAnsiTheme="minorHAnsi" w:cstheme="minorHAnsi"/>
                <w:bCs w:val="0"/>
                <w:sz w:val="22"/>
                <w:szCs w:val="22"/>
              </w:rPr>
              <w:t>5</w:t>
            </w:r>
          </w:p>
        </w:tc>
      </w:tr>
      <w:tr w:rsidR="008B4DC9" w:rsidRPr="0016777D" w14:paraId="367D2FD7"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01C02F89" w14:textId="04BA621F" w:rsidR="008B4DC9" w:rsidRPr="00DD2E6C" w:rsidRDefault="00DD2E6C" w:rsidP="54FC58AD">
            <w:pPr>
              <w:pStyle w:val="Nagwek3"/>
              <w:spacing w:before="120" w:beforeAutospacing="0" w:after="120" w:afterAutospacing="0"/>
              <w:rPr>
                <w:rFonts w:asciiTheme="minorHAnsi" w:hAnsiTheme="minorHAnsi" w:cstheme="minorHAnsi"/>
                <w:b w:val="0"/>
                <w:bCs w:val="0"/>
                <w:sz w:val="22"/>
                <w:szCs w:val="22"/>
                <w:lang w:val="en-GB"/>
              </w:rPr>
            </w:pPr>
            <w:r w:rsidRPr="00DD2E6C">
              <w:rPr>
                <w:rFonts w:asciiTheme="minorHAnsi" w:hAnsiTheme="minorHAnsi" w:cstheme="minorHAnsi"/>
                <w:b w:val="0"/>
                <w:bCs w:val="0"/>
                <w:sz w:val="22"/>
                <w:szCs w:val="22"/>
                <w:lang w:val="en-GB"/>
              </w:rPr>
              <w:t>Maximum duration of the scholarship:</w:t>
            </w:r>
          </w:p>
        </w:tc>
        <w:tc>
          <w:tcPr>
            <w:tcW w:w="6080" w:type="dxa"/>
            <w:tcBorders>
              <w:top w:val="single" w:sz="4" w:space="0" w:color="0070C0"/>
              <w:left w:val="nil"/>
              <w:bottom w:val="single" w:sz="4" w:space="0" w:color="0070C0"/>
            </w:tcBorders>
            <w:vAlign w:val="center"/>
          </w:tcPr>
          <w:p w14:paraId="44EC40C2" w14:textId="6A74E6A0" w:rsidR="008B4DC9" w:rsidRPr="00FB7909" w:rsidRDefault="00B117DD" w:rsidP="54FC58AD">
            <w:pPr>
              <w:pStyle w:val="Nagwek3"/>
              <w:spacing w:before="120" w:beforeAutospacing="0" w:after="120" w:afterAutospacing="0"/>
              <w:rPr>
                <w:rFonts w:asciiTheme="minorHAnsi" w:hAnsiTheme="minorHAnsi" w:cstheme="minorHAnsi"/>
                <w:bCs w:val="0"/>
                <w:sz w:val="22"/>
                <w:szCs w:val="22"/>
              </w:rPr>
            </w:pPr>
            <w:r>
              <w:rPr>
                <w:rFonts w:asciiTheme="minorHAnsi" w:hAnsiTheme="minorHAnsi" w:cstheme="minorHAnsi"/>
                <w:bCs w:val="0"/>
                <w:sz w:val="22"/>
                <w:szCs w:val="22"/>
              </w:rPr>
              <w:t>1</w:t>
            </w:r>
            <w:r w:rsidR="00635F87">
              <w:rPr>
                <w:rFonts w:asciiTheme="minorHAnsi" w:hAnsiTheme="minorHAnsi" w:cstheme="minorHAnsi"/>
                <w:bCs w:val="0"/>
                <w:sz w:val="22"/>
                <w:szCs w:val="22"/>
              </w:rPr>
              <w:t>6</w:t>
            </w:r>
            <w:r w:rsidR="00B81B43" w:rsidRPr="00FB7909">
              <w:rPr>
                <w:rFonts w:asciiTheme="minorHAnsi" w:hAnsiTheme="minorHAnsi" w:cstheme="minorHAnsi"/>
                <w:bCs w:val="0"/>
                <w:sz w:val="22"/>
                <w:szCs w:val="22"/>
              </w:rPr>
              <w:t xml:space="preserve"> </w:t>
            </w:r>
            <w:proofErr w:type="spellStart"/>
            <w:r w:rsidR="00CD17FF">
              <w:rPr>
                <w:rFonts w:asciiTheme="minorHAnsi" w:hAnsiTheme="minorHAnsi" w:cstheme="minorHAnsi"/>
                <w:bCs w:val="0"/>
                <w:sz w:val="22"/>
                <w:szCs w:val="22"/>
              </w:rPr>
              <w:t>months</w:t>
            </w:r>
            <w:proofErr w:type="spellEnd"/>
          </w:p>
        </w:tc>
      </w:tr>
      <w:tr w:rsidR="00DD2E6C" w:rsidRPr="00DD2E6C" w14:paraId="5D751738"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7BA12205" w14:textId="076180F4"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proofErr w:type="spellStart"/>
            <w:r w:rsidRPr="009A02C9">
              <w:rPr>
                <w:rFonts w:asciiTheme="minorHAnsi" w:hAnsiTheme="minorHAnsi" w:cstheme="minorHAnsi"/>
                <w:b w:val="0"/>
                <w:bCs w:val="0"/>
                <w:sz w:val="22"/>
                <w:szCs w:val="22"/>
              </w:rPr>
              <w:t>Institution</w:t>
            </w:r>
            <w:proofErr w:type="spellEnd"/>
            <w:r w:rsidRPr="009A02C9">
              <w:rPr>
                <w:rFonts w:asciiTheme="minorHAnsi" w:hAnsiTheme="minorHAnsi" w:cstheme="minorHAnsi"/>
                <w:b w:val="0"/>
                <w:bCs w:val="0"/>
                <w:sz w:val="22"/>
                <w:szCs w:val="22"/>
              </w:rPr>
              <w:t>:</w:t>
            </w:r>
          </w:p>
        </w:tc>
        <w:tc>
          <w:tcPr>
            <w:tcW w:w="6080" w:type="dxa"/>
            <w:tcBorders>
              <w:top w:val="single" w:sz="4" w:space="0" w:color="0070C0"/>
              <w:left w:val="nil"/>
              <w:bottom w:val="single" w:sz="4" w:space="0" w:color="0070C0"/>
            </w:tcBorders>
            <w:vAlign w:val="center"/>
          </w:tcPr>
          <w:p w14:paraId="6FA30EA1" w14:textId="158688C5"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GB"/>
              </w:rPr>
              <w:t xml:space="preserve">Institute of Molecular Biology and Biotechnology, Faculty of Biology, Adam Mickiewicz University in </w:t>
            </w:r>
            <w:proofErr w:type="spellStart"/>
            <w:r w:rsidRPr="009A02C9">
              <w:rPr>
                <w:rFonts w:asciiTheme="minorHAnsi" w:hAnsiTheme="minorHAnsi" w:cstheme="minorHAnsi"/>
                <w:b w:val="0"/>
                <w:bCs w:val="0"/>
                <w:sz w:val="22"/>
                <w:szCs w:val="22"/>
                <w:lang w:val="en-GB"/>
              </w:rPr>
              <w:t>Poznań</w:t>
            </w:r>
            <w:proofErr w:type="spellEnd"/>
          </w:p>
        </w:tc>
      </w:tr>
      <w:tr w:rsidR="00DD2E6C" w:rsidRPr="0016777D" w14:paraId="212769F0"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7008AC5D" w14:textId="6E45DBC7"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Project </w:t>
            </w:r>
            <w:proofErr w:type="spellStart"/>
            <w:r w:rsidRPr="009A02C9">
              <w:rPr>
                <w:rFonts w:asciiTheme="minorHAnsi" w:hAnsiTheme="minorHAnsi" w:cstheme="minorHAnsi"/>
                <w:b w:val="0"/>
                <w:bCs w:val="0"/>
                <w:sz w:val="22"/>
                <w:szCs w:val="22"/>
              </w:rPr>
              <w:t>supervisor</w:t>
            </w:r>
            <w:proofErr w:type="spellEnd"/>
            <w:r w:rsidRPr="009A02C9">
              <w:rPr>
                <w:rFonts w:asciiTheme="minorHAnsi" w:hAnsiTheme="minorHAnsi" w:cstheme="minorHAnsi"/>
                <w:b w:val="0"/>
                <w:bCs w:val="0"/>
                <w:sz w:val="22"/>
                <w:szCs w:val="22"/>
              </w:rPr>
              <w:t>:</w:t>
            </w:r>
          </w:p>
        </w:tc>
        <w:tc>
          <w:tcPr>
            <w:tcW w:w="6080" w:type="dxa"/>
            <w:tcBorders>
              <w:top w:val="single" w:sz="4" w:space="0" w:color="0070C0"/>
              <w:left w:val="nil"/>
              <w:bottom w:val="single" w:sz="4" w:space="0" w:color="0070C0"/>
            </w:tcBorders>
            <w:vAlign w:val="center"/>
          </w:tcPr>
          <w:p w14:paraId="17C950A4" w14:textId="60C9BDD0"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451F8D">
              <w:rPr>
                <w:rFonts w:asciiTheme="minorHAnsi" w:hAnsiTheme="minorHAnsi" w:cstheme="minorHAnsi"/>
                <w:b w:val="0"/>
                <w:bCs w:val="0"/>
                <w:sz w:val="22"/>
                <w:szCs w:val="22"/>
              </w:rPr>
              <w:t>Prof. Krzysztof Sobczak</w:t>
            </w:r>
          </w:p>
        </w:tc>
      </w:tr>
      <w:tr w:rsidR="00DD2E6C" w:rsidRPr="00DD2E6C" w14:paraId="5F9DD1F8"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0017E52C" w14:textId="3683B020"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eastAsia="en-US"/>
              </w:rPr>
              <w:t xml:space="preserve">Project </w:t>
            </w:r>
            <w:proofErr w:type="spellStart"/>
            <w:r w:rsidRPr="009A02C9">
              <w:rPr>
                <w:rFonts w:asciiTheme="minorHAnsi" w:hAnsiTheme="minorHAnsi" w:cstheme="minorHAnsi"/>
                <w:b w:val="0"/>
                <w:bCs w:val="0"/>
                <w:sz w:val="22"/>
                <w:szCs w:val="22"/>
                <w:lang w:eastAsia="en-US"/>
              </w:rPr>
              <w:t>title</w:t>
            </w:r>
            <w:proofErr w:type="spellEnd"/>
            <w:r w:rsidRPr="009A02C9">
              <w:rPr>
                <w:rFonts w:asciiTheme="minorHAnsi" w:hAnsiTheme="minorHAnsi" w:cstheme="minorHAnsi"/>
                <w:b w:val="0"/>
                <w:bCs w:val="0"/>
                <w:sz w:val="22"/>
                <w:szCs w:val="22"/>
                <w:lang w:eastAsia="en-US"/>
              </w:rPr>
              <w:t>:</w:t>
            </w:r>
          </w:p>
        </w:tc>
        <w:tc>
          <w:tcPr>
            <w:tcW w:w="6080" w:type="dxa"/>
            <w:tcBorders>
              <w:top w:val="single" w:sz="4" w:space="0" w:color="0070C0"/>
              <w:left w:val="nil"/>
              <w:bottom w:val="single" w:sz="4" w:space="0" w:color="0070C0"/>
            </w:tcBorders>
            <w:vAlign w:val="center"/>
          </w:tcPr>
          <w:p w14:paraId="65270A3A" w14:textId="77777777" w:rsidR="00DD2E6C" w:rsidRPr="009A02C9" w:rsidRDefault="00DD2E6C" w:rsidP="00DD2E6C">
            <w:pPr>
              <w:spacing w:before="120" w:after="120"/>
              <w:jc w:val="both"/>
              <w:rPr>
                <w:rFonts w:asciiTheme="minorHAnsi" w:hAnsiTheme="minorHAnsi" w:cstheme="minorHAnsi"/>
                <w:i/>
                <w:iCs/>
                <w:lang w:val="en-GB"/>
              </w:rPr>
            </w:pPr>
            <w:r w:rsidRPr="009A02C9">
              <w:rPr>
                <w:rFonts w:asciiTheme="minorHAnsi" w:hAnsiTheme="minorHAnsi" w:cstheme="minorHAnsi"/>
                <w:i/>
                <w:iCs/>
                <w:lang w:val="en-GB"/>
              </w:rPr>
              <w:t>Pathogenesis Associated with RNA Containing Trinucleotide Repeat Expansions: Mechanisms and Therapeutic Strategies</w:t>
            </w:r>
          </w:p>
          <w:p w14:paraId="25C05047" w14:textId="77777777" w:rsidR="00DD2E6C" w:rsidRPr="009A02C9" w:rsidRDefault="00DD2E6C" w:rsidP="00DD2E6C">
            <w:pPr>
              <w:spacing w:before="120" w:after="120"/>
              <w:jc w:val="both"/>
              <w:rPr>
                <w:rFonts w:asciiTheme="minorHAnsi" w:hAnsiTheme="minorHAnsi" w:cstheme="minorHAnsi"/>
                <w:lang w:val="en-GB"/>
              </w:rPr>
            </w:pPr>
            <w:r w:rsidRPr="009A02C9">
              <w:rPr>
                <w:rFonts w:asciiTheme="minorHAnsi" w:hAnsiTheme="minorHAnsi" w:cstheme="minorHAnsi"/>
                <w:lang w:val="en-GB"/>
              </w:rPr>
              <w:t>Project number: UMO-2020/38/A/NZ3/00498</w:t>
            </w:r>
          </w:p>
          <w:p w14:paraId="2FBF7950" w14:textId="5DD47B46" w:rsidR="00DD2E6C" w:rsidRPr="00DD2E6C" w:rsidRDefault="00DD2E6C" w:rsidP="00DD2E6C">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Project funded under: MAESTRO program of the National Science Centre (NCN)</w:t>
            </w:r>
          </w:p>
        </w:tc>
      </w:tr>
      <w:tr w:rsidR="00DD2E6C" w:rsidRPr="00DD2E6C" w14:paraId="502857A3"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48D11C0" w14:textId="0956ACB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Project description</w:t>
            </w:r>
          </w:p>
        </w:tc>
        <w:tc>
          <w:tcPr>
            <w:tcW w:w="6080" w:type="dxa"/>
            <w:tcBorders>
              <w:top w:val="single" w:sz="4" w:space="0" w:color="0070C0"/>
              <w:left w:val="nil"/>
              <w:bottom w:val="single" w:sz="4" w:space="0" w:color="0070C0"/>
            </w:tcBorders>
            <w:vAlign w:val="center"/>
          </w:tcPr>
          <w:p w14:paraId="1B8EB9CA" w14:textId="77777777" w:rsidR="00DD2E6C" w:rsidRDefault="00DD2E6C" w:rsidP="00DD2E6C">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 xml:space="preserve">A PhD student position is available at the Department of Gene Expression, Institute of Molecular Biology and Biotechnology, Faculty of Biology, Adam Mickiewicz University in </w:t>
            </w:r>
            <w:proofErr w:type="spellStart"/>
            <w:r w:rsidRPr="009A02C9">
              <w:rPr>
                <w:rFonts w:asciiTheme="minorHAnsi" w:hAnsiTheme="minorHAnsi" w:cstheme="minorHAnsi"/>
                <w:b w:val="0"/>
                <w:bCs w:val="0"/>
                <w:sz w:val="22"/>
                <w:szCs w:val="22"/>
                <w:lang w:val="en-GB"/>
              </w:rPr>
              <w:t>Poznań</w:t>
            </w:r>
            <w:proofErr w:type="spellEnd"/>
            <w:r w:rsidRPr="009A02C9">
              <w:rPr>
                <w:rFonts w:asciiTheme="minorHAnsi" w:hAnsiTheme="minorHAnsi" w:cstheme="minorHAnsi"/>
                <w:b w:val="0"/>
                <w:bCs w:val="0"/>
                <w:sz w:val="22"/>
                <w:szCs w:val="22"/>
                <w:lang w:val="en-GB"/>
              </w:rPr>
              <w:t xml:space="preserve"> – the largest academic </w:t>
            </w:r>
            <w:proofErr w:type="spellStart"/>
            <w:r w:rsidRPr="009A02C9">
              <w:rPr>
                <w:rFonts w:asciiTheme="minorHAnsi" w:hAnsiTheme="minorHAnsi" w:cstheme="minorHAnsi"/>
                <w:b w:val="0"/>
                <w:bCs w:val="0"/>
                <w:sz w:val="22"/>
                <w:szCs w:val="22"/>
                <w:lang w:val="en-GB"/>
              </w:rPr>
              <w:t>center</w:t>
            </w:r>
            <w:proofErr w:type="spellEnd"/>
            <w:r w:rsidRPr="009A02C9">
              <w:rPr>
                <w:rFonts w:asciiTheme="minorHAnsi" w:hAnsiTheme="minorHAnsi" w:cstheme="minorHAnsi"/>
                <w:b w:val="0"/>
                <w:bCs w:val="0"/>
                <w:sz w:val="22"/>
                <w:szCs w:val="22"/>
                <w:lang w:val="en-GB"/>
              </w:rPr>
              <w:t xml:space="preserve"> in </w:t>
            </w:r>
            <w:proofErr w:type="spellStart"/>
            <w:r w:rsidRPr="009A02C9">
              <w:rPr>
                <w:rFonts w:asciiTheme="minorHAnsi" w:hAnsiTheme="minorHAnsi" w:cstheme="minorHAnsi"/>
                <w:b w:val="0"/>
                <w:bCs w:val="0"/>
                <w:sz w:val="22"/>
                <w:szCs w:val="22"/>
                <w:lang w:val="en-GB"/>
              </w:rPr>
              <w:t>Poznań</w:t>
            </w:r>
            <w:proofErr w:type="spellEnd"/>
            <w:r w:rsidRPr="009A02C9">
              <w:rPr>
                <w:rFonts w:asciiTheme="minorHAnsi" w:hAnsiTheme="minorHAnsi" w:cstheme="minorHAnsi"/>
                <w:b w:val="0"/>
                <w:bCs w:val="0"/>
                <w:sz w:val="22"/>
                <w:szCs w:val="22"/>
                <w:lang w:val="en-GB"/>
              </w:rPr>
              <w:t xml:space="preserve"> and one of the leading universities in Poland (ID-UB status).</w:t>
            </w:r>
          </w:p>
          <w:p w14:paraId="4D7A2DDC" w14:textId="77777777" w:rsidR="00DD2E6C" w:rsidRPr="009A02C9" w:rsidRDefault="00DD2E6C" w:rsidP="00DD2E6C">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We are looking for a motivated candidate interested in conducting research in a team studying human molecular genetics, under the supervision of Prof. Krzysztof Sobczak.</w:t>
            </w:r>
          </w:p>
          <w:p w14:paraId="633E2298" w14:textId="77777777" w:rsidR="00DD2E6C" w:rsidRPr="009A02C9" w:rsidRDefault="00DD2E6C" w:rsidP="00DD2E6C">
            <w:pPr>
              <w:pStyle w:val="Nagwek3"/>
              <w:spacing w:before="120" w:after="12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The team focuses on investigating the molecular basis and experimental therapy development for selected neurodegenerative diseases associated with trinucleotide repeat expansions — mainly myotonic dystrophies (DM) and fragile X-related syndromes (FXS and FXTAS).</w:t>
            </w:r>
          </w:p>
          <w:p w14:paraId="72EED9D9" w14:textId="61C1FA9B" w:rsidR="00DD2E6C" w:rsidRPr="00DD2E6C" w:rsidRDefault="00DD2E6C" w:rsidP="00DD2E6C">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DM1 is an autosomal dominant disease caused by a CTG repeat expansion in the 3’-UTR of the DMPK gene. The DMPK transcript containing expanded CUG repeats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 accumulates in the </w:t>
            </w:r>
            <w:r w:rsidRPr="009A02C9">
              <w:rPr>
                <w:rFonts w:asciiTheme="minorHAnsi" w:hAnsiTheme="minorHAnsi" w:cstheme="minorHAnsi"/>
                <w:b w:val="0"/>
                <w:bCs w:val="0"/>
                <w:sz w:val="22"/>
                <w:szCs w:val="22"/>
                <w:lang w:val="en-GB"/>
              </w:rPr>
              <w:lastRenderedPageBreak/>
              <w:t xml:space="preserve">nucleus as ribonucleoprotein foci. This nuclear retention partly results from interactions between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 RNA and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2"/>
                <w:szCs w:val="22"/>
                <w:vertAlign w:val="superscript"/>
                <w:lang w:val="en-GB"/>
              </w:rPr>
              <w:t>exp</w:t>
            </w:r>
            <w:proofErr w:type="spellEnd"/>
            <w:r w:rsidRPr="009A02C9">
              <w:rPr>
                <w:rFonts w:asciiTheme="minorHAnsi" w:hAnsiTheme="minorHAnsi" w:cstheme="minorHAnsi"/>
                <w:b w:val="0"/>
                <w:bCs w:val="0"/>
                <w:sz w:val="22"/>
                <w:szCs w:val="22"/>
                <w:lang w:val="en-GB"/>
              </w:rPr>
              <w:t xml:space="preserve">-binding proteins, such as splicing factors from the </w:t>
            </w:r>
            <w:proofErr w:type="spellStart"/>
            <w:r w:rsidRPr="009A02C9">
              <w:rPr>
                <w:rFonts w:asciiTheme="minorHAnsi" w:hAnsiTheme="minorHAnsi" w:cstheme="minorHAnsi"/>
                <w:b w:val="0"/>
                <w:bCs w:val="0"/>
                <w:sz w:val="22"/>
                <w:szCs w:val="22"/>
                <w:lang w:val="en-GB"/>
              </w:rPr>
              <w:t>Muscleblind</w:t>
            </w:r>
            <w:proofErr w:type="spellEnd"/>
            <w:r w:rsidRPr="009A02C9">
              <w:rPr>
                <w:rFonts w:asciiTheme="minorHAnsi" w:hAnsiTheme="minorHAnsi" w:cstheme="minorHAnsi"/>
                <w:b w:val="0"/>
                <w:bCs w:val="0"/>
                <w:sz w:val="22"/>
                <w:szCs w:val="22"/>
                <w:lang w:val="en-GB"/>
              </w:rPr>
              <w:t xml:space="preserve">-like (MBNL) protein family. The sequestration of hundreds of MBNL proteins by a single </w:t>
            </w:r>
            <w:proofErr w:type="spellStart"/>
            <w:r w:rsidRPr="009A02C9">
              <w:rPr>
                <w:rFonts w:asciiTheme="minorHAnsi" w:hAnsiTheme="minorHAnsi" w:cstheme="minorHAnsi"/>
                <w:b w:val="0"/>
                <w:bCs w:val="0"/>
                <w:sz w:val="22"/>
                <w:szCs w:val="22"/>
                <w:lang w:val="en-GB"/>
              </w:rPr>
              <w:t>CUG</w:t>
            </w:r>
            <w:r w:rsidRPr="009A02C9">
              <w:rPr>
                <w:rFonts w:asciiTheme="minorHAnsi" w:hAnsiTheme="minorHAnsi" w:cstheme="minorHAnsi"/>
                <w:b w:val="0"/>
                <w:bCs w:val="0"/>
                <w:sz w:val="24"/>
                <w:szCs w:val="24"/>
                <w:vertAlign w:val="superscript"/>
                <w:lang w:val="en-GB"/>
              </w:rPr>
              <w:t>exp</w:t>
            </w:r>
            <w:proofErr w:type="spellEnd"/>
            <w:r w:rsidRPr="009A02C9">
              <w:rPr>
                <w:rFonts w:asciiTheme="minorHAnsi" w:hAnsiTheme="minorHAnsi" w:cstheme="minorHAnsi"/>
                <w:b w:val="0"/>
                <w:bCs w:val="0"/>
                <w:sz w:val="22"/>
                <w:szCs w:val="22"/>
                <w:lang w:val="en-GB"/>
              </w:rPr>
              <w:t xml:space="preserve"> RNA leads to their functional depletion and widespread alternative splicing defects.</w:t>
            </w:r>
          </w:p>
        </w:tc>
      </w:tr>
      <w:tr w:rsidR="008B4DC9" w:rsidRPr="00DD2E6C" w14:paraId="29CC65B4"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36B6E128" w14:textId="58ADF9AD" w:rsidR="008B4DC9" w:rsidRPr="00451F8D" w:rsidRDefault="00DD2E6C" w:rsidP="54FC58AD">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lastRenderedPageBreak/>
              <w:t>Main responsibilities</w:t>
            </w:r>
          </w:p>
        </w:tc>
        <w:tc>
          <w:tcPr>
            <w:tcW w:w="6080" w:type="dxa"/>
            <w:tcBorders>
              <w:top w:val="single" w:sz="4" w:space="0" w:color="0070C0"/>
              <w:left w:val="nil"/>
              <w:bottom w:val="single" w:sz="4" w:space="0" w:color="0070C0"/>
            </w:tcBorders>
            <w:vAlign w:val="center"/>
          </w:tcPr>
          <w:p w14:paraId="14566F33" w14:textId="466EF664" w:rsidR="00DD2E6C" w:rsidRPr="00DD2E6C" w:rsidRDefault="00DD2E6C" w:rsidP="00CD17FF">
            <w:pPr>
              <w:numPr>
                <w:ilvl w:val="0"/>
                <w:numId w:val="6"/>
              </w:numPr>
              <w:spacing w:before="120" w:after="120" w:line="240" w:lineRule="auto"/>
              <w:ind w:left="304" w:hanging="283"/>
              <w:jc w:val="both"/>
              <w:outlineLvl w:val="2"/>
              <w:rPr>
                <w:rFonts w:asciiTheme="minorHAnsi" w:hAnsiTheme="minorHAnsi" w:cstheme="minorHAnsi"/>
                <w:lang w:val="en-GB"/>
              </w:rPr>
            </w:pPr>
            <w:r w:rsidRPr="00DD2E6C">
              <w:rPr>
                <w:rFonts w:asciiTheme="minorHAnsi" w:hAnsiTheme="minorHAnsi" w:cstheme="minorHAnsi"/>
                <w:lang w:val="en-GB"/>
              </w:rPr>
              <w:t>Development and preparation of control cell models (“homogeneous controls”) based on induced pluripotent stem cells (iPSCs) derived from patients carrying a mutation in the FMR1 gene. Genetic editing using CRISPR-Cas9 technology will be performed to remove the mutation in the FMR1 gene and obtain normal (wild-type) cell lines.</w:t>
            </w:r>
          </w:p>
          <w:p w14:paraId="109028AF" w14:textId="52A8A4D2" w:rsidR="00DD2E6C" w:rsidRPr="00DD2E6C" w:rsidRDefault="00DD2E6C" w:rsidP="00CD17FF">
            <w:pPr>
              <w:numPr>
                <w:ilvl w:val="0"/>
                <w:numId w:val="6"/>
              </w:numPr>
              <w:spacing w:before="120" w:after="120" w:line="240" w:lineRule="auto"/>
              <w:ind w:left="304" w:hanging="283"/>
              <w:jc w:val="both"/>
              <w:outlineLvl w:val="2"/>
              <w:rPr>
                <w:rFonts w:asciiTheme="minorHAnsi" w:hAnsiTheme="minorHAnsi" w:cstheme="minorHAnsi"/>
                <w:lang w:val="en-GB"/>
              </w:rPr>
            </w:pPr>
            <w:r w:rsidRPr="00DD2E6C">
              <w:rPr>
                <w:rFonts w:asciiTheme="minorHAnsi" w:hAnsiTheme="minorHAnsi" w:cstheme="minorHAnsi"/>
                <w:lang w:val="en-GB"/>
              </w:rPr>
              <w:t>Validation of the obtained cell models using molecular, cellular, and biochemical biology methods (e.g., PCR, sequencing, gene expression analysis).</w:t>
            </w:r>
          </w:p>
          <w:p w14:paraId="06772121" w14:textId="7C21A032" w:rsidR="00DD2E6C" w:rsidRPr="00DD2E6C" w:rsidRDefault="00DD2E6C" w:rsidP="00CD17FF">
            <w:pPr>
              <w:numPr>
                <w:ilvl w:val="0"/>
                <w:numId w:val="6"/>
              </w:numPr>
              <w:spacing w:before="120" w:after="120" w:line="240" w:lineRule="auto"/>
              <w:ind w:left="304" w:hanging="283"/>
              <w:jc w:val="both"/>
              <w:outlineLvl w:val="2"/>
              <w:rPr>
                <w:rFonts w:asciiTheme="minorHAnsi" w:hAnsiTheme="minorHAnsi" w:cstheme="minorHAnsi"/>
                <w:lang w:val="en-GB"/>
              </w:rPr>
            </w:pPr>
            <w:r w:rsidRPr="00DD2E6C">
              <w:rPr>
                <w:rFonts w:asciiTheme="minorHAnsi" w:hAnsiTheme="minorHAnsi" w:cstheme="minorHAnsi"/>
                <w:lang w:val="en-GB"/>
              </w:rPr>
              <w:t>Documentation and analysis of experimental results, as well as preparation of reports and presentations summarizing progress in the research project.</w:t>
            </w:r>
          </w:p>
          <w:p w14:paraId="1A50D371" w14:textId="233EB37A" w:rsidR="008B4DC9" w:rsidRPr="00DD2E6C" w:rsidRDefault="00DD2E6C" w:rsidP="00CD17FF">
            <w:pPr>
              <w:pStyle w:val="Nagwek3"/>
              <w:numPr>
                <w:ilvl w:val="0"/>
                <w:numId w:val="6"/>
              </w:numPr>
              <w:spacing w:before="120" w:beforeAutospacing="0" w:after="120" w:afterAutospacing="0"/>
              <w:ind w:left="304" w:hanging="283"/>
              <w:jc w:val="both"/>
              <w:rPr>
                <w:rFonts w:asciiTheme="minorHAnsi" w:hAnsiTheme="minorHAnsi" w:cstheme="minorHAnsi"/>
                <w:b w:val="0"/>
                <w:bCs w:val="0"/>
                <w:sz w:val="22"/>
                <w:szCs w:val="22"/>
                <w:lang w:val="en-GB"/>
              </w:rPr>
            </w:pPr>
            <w:r w:rsidRPr="00DD2E6C">
              <w:rPr>
                <w:rFonts w:asciiTheme="minorHAnsi" w:hAnsiTheme="minorHAnsi" w:cstheme="minorHAnsi"/>
                <w:b w:val="0"/>
                <w:bCs w:val="0"/>
                <w:sz w:val="22"/>
                <w:szCs w:val="22"/>
                <w:lang w:val="en-GB"/>
              </w:rPr>
              <w:t>Participation in the preparation of scientific manuscripts for publication.</w:t>
            </w:r>
          </w:p>
        </w:tc>
      </w:tr>
      <w:tr w:rsidR="00DD2E6C" w:rsidRPr="00DD2E6C" w14:paraId="2C6F6FCF"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21666117" w14:textId="11AFC8E0"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Candidate profile / requirements</w:t>
            </w:r>
          </w:p>
        </w:tc>
        <w:tc>
          <w:tcPr>
            <w:tcW w:w="6080" w:type="dxa"/>
            <w:tcBorders>
              <w:top w:val="single" w:sz="4" w:space="0" w:color="0070C0"/>
              <w:left w:val="nil"/>
              <w:bottom w:val="single" w:sz="4" w:space="0" w:color="0070C0"/>
            </w:tcBorders>
            <w:vAlign w:val="center"/>
          </w:tcPr>
          <w:p w14:paraId="3DB716BA"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ideal candidate should hold a Master’s degree in Biology, Biochemistry, Chemistry, Genetics, Computational Biology, or another related field of natural sciences (for degrees obtained abroad, documents must meet the requirements specified in Article 328 of the Polish Law on Higher Education and Science of 20 July 2018, Journal of Laws 2021, item 478); and be a doctoral school participant.</w:t>
            </w:r>
          </w:p>
          <w:p w14:paraId="33EFA92D"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The candidate is expected to demonstrate enthusiasm for science, ability to work both independently and in a team, organizational and communication skills, and a record of prior research experience.</w:t>
            </w:r>
          </w:p>
          <w:p w14:paraId="0C39E164"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Excellent academic record during studies.</w:t>
            </w:r>
          </w:p>
          <w:p w14:paraId="23887C17"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Experience in human genetics, molecular and cellular biology, and statistics.</w:t>
            </w:r>
          </w:p>
          <w:p w14:paraId="460D5220" w14:textId="77777777" w:rsidR="00DD2E6C" w:rsidRPr="009A02C9" w:rsidRDefault="00DD2E6C" w:rsidP="00DD2E6C">
            <w:pPr>
              <w:numPr>
                <w:ilvl w:val="0"/>
                <w:numId w:val="7"/>
              </w:numPr>
              <w:spacing w:before="120" w:after="120" w:line="240" w:lineRule="auto"/>
              <w:ind w:left="304" w:hanging="304"/>
              <w:jc w:val="both"/>
              <w:outlineLvl w:val="2"/>
              <w:rPr>
                <w:rFonts w:asciiTheme="minorHAnsi" w:hAnsiTheme="minorHAnsi" w:cstheme="minorHAnsi"/>
                <w:lang w:val="en-GB"/>
              </w:rPr>
            </w:pPr>
            <w:r w:rsidRPr="009A02C9">
              <w:rPr>
                <w:rFonts w:asciiTheme="minorHAnsi" w:hAnsiTheme="minorHAnsi" w:cstheme="minorHAnsi"/>
                <w:lang w:val="en-GB"/>
              </w:rPr>
              <w:t>This position is ideal for candidates familiar with RNA biochemistry, RNA biology, or transcriptome-wide approaches.</w:t>
            </w:r>
          </w:p>
          <w:p w14:paraId="4A4DF9A8" w14:textId="08147251" w:rsidR="00DD2E6C" w:rsidRPr="00DD2E6C" w:rsidRDefault="00DD2E6C" w:rsidP="00CD17FF">
            <w:pPr>
              <w:pStyle w:val="Nagwek3"/>
              <w:numPr>
                <w:ilvl w:val="0"/>
                <w:numId w:val="7"/>
              </w:numPr>
              <w:spacing w:before="120" w:beforeAutospacing="0" w:after="120" w:afterAutospacing="0"/>
              <w:ind w:left="304" w:hanging="304"/>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Familiarity with techniques such as: DNA cloning, RT-PCR, real-time PCR, northern blotting, electrophoresis methods, western blotting, immuno-affinity pull-down, RNA-</w:t>
            </w:r>
            <w:proofErr w:type="spellStart"/>
            <w:r w:rsidRPr="009A02C9">
              <w:rPr>
                <w:rFonts w:asciiTheme="minorHAnsi" w:hAnsiTheme="minorHAnsi" w:cstheme="minorHAnsi"/>
                <w:b w:val="0"/>
                <w:bCs w:val="0"/>
                <w:sz w:val="22"/>
                <w:szCs w:val="22"/>
                <w:lang w:val="en-GB"/>
              </w:rPr>
              <w:t>seq</w:t>
            </w:r>
            <w:proofErr w:type="spellEnd"/>
            <w:r w:rsidRPr="009A02C9">
              <w:rPr>
                <w:rFonts w:asciiTheme="minorHAnsi" w:hAnsiTheme="minorHAnsi" w:cstheme="minorHAnsi"/>
                <w:b w:val="0"/>
                <w:bCs w:val="0"/>
                <w:sz w:val="22"/>
                <w:szCs w:val="22"/>
                <w:lang w:val="en-GB"/>
              </w:rPr>
              <w:t xml:space="preserve"> and NGS data analysis.</w:t>
            </w:r>
          </w:p>
        </w:tc>
      </w:tr>
      <w:tr w:rsidR="00DD2E6C" w:rsidRPr="00955BC9" w14:paraId="27CE3264"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4A212081" w14:textId="1F67A428"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lang w:val="en-US"/>
              </w:rPr>
            </w:pPr>
            <w:r w:rsidRPr="009A02C9">
              <w:rPr>
                <w:rFonts w:asciiTheme="minorHAnsi" w:hAnsiTheme="minorHAnsi" w:cstheme="minorHAnsi"/>
                <w:b w:val="0"/>
                <w:bCs w:val="0"/>
                <w:sz w:val="22"/>
                <w:szCs w:val="22"/>
                <w:lang w:val="en-US"/>
              </w:rPr>
              <w:t>Required documents</w:t>
            </w:r>
          </w:p>
        </w:tc>
        <w:tc>
          <w:tcPr>
            <w:tcW w:w="6080" w:type="dxa"/>
            <w:tcBorders>
              <w:top w:val="single" w:sz="4" w:space="0" w:color="0070C0"/>
              <w:left w:val="nil"/>
              <w:bottom w:val="single" w:sz="4" w:space="0" w:color="0070C0"/>
            </w:tcBorders>
            <w:vAlign w:val="center"/>
          </w:tcPr>
          <w:p w14:paraId="401C27DF" w14:textId="77777777" w:rsidR="00DD2E6C" w:rsidRPr="009A02C9" w:rsidRDefault="00DD2E6C" w:rsidP="00CD17FF">
            <w:pPr>
              <w:numPr>
                <w:ilvl w:val="0"/>
                <w:numId w:val="8"/>
              </w:numPr>
              <w:spacing w:before="120" w:after="120" w:line="240" w:lineRule="auto"/>
              <w:ind w:left="304" w:hanging="283"/>
              <w:jc w:val="both"/>
              <w:outlineLvl w:val="2"/>
              <w:rPr>
                <w:rFonts w:asciiTheme="minorHAnsi" w:hAnsiTheme="minorHAnsi" w:cstheme="minorHAnsi"/>
                <w:lang w:val="en-GB" w:eastAsia="pl-PL"/>
              </w:rPr>
            </w:pPr>
            <w:r w:rsidRPr="009A02C9">
              <w:rPr>
                <w:rFonts w:asciiTheme="minorHAnsi" w:hAnsiTheme="minorHAnsi" w:cstheme="minorHAnsi"/>
                <w:lang w:val="en-GB" w:eastAsia="pl-PL"/>
              </w:rPr>
              <w:t>Curriculum Vitae (CV) including previous scientific achievements.</w:t>
            </w:r>
          </w:p>
          <w:p w14:paraId="1332789F" w14:textId="77777777" w:rsidR="00DD2E6C" w:rsidRPr="009A02C9" w:rsidRDefault="00DD2E6C" w:rsidP="00CD17FF">
            <w:pPr>
              <w:numPr>
                <w:ilvl w:val="0"/>
                <w:numId w:val="8"/>
              </w:numPr>
              <w:spacing w:before="120" w:after="120" w:line="240" w:lineRule="auto"/>
              <w:ind w:left="304" w:hanging="283"/>
              <w:jc w:val="both"/>
              <w:outlineLvl w:val="2"/>
              <w:rPr>
                <w:rFonts w:asciiTheme="minorHAnsi" w:hAnsiTheme="minorHAnsi" w:cstheme="minorHAnsi"/>
                <w:lang w:val="en-GB" w:eastAsia="pl-PL"/>
              </w:rPr>
            </w:pPr>
            <w:r w:rsidRPr="009A02C9">
              <w:rPr>
                <w:rFonts w:asciiTheme="minorHAnsi" w:hAnsiTheme="minorHAnsi" w:cstheme="minorHAnsi"/>
                <w:lang w:val="en-GB" w:eastAsia="pl-PL"/>
              </w:rPr>
              <w:t>Motivation letter summarizing past experience and future research interests.</w:t>
            </w:r>
          </w:p>
          <w:p w14:paraId="124A20BD" w14:textId="77777777" w:rsidR="00DD2E6C" w:rsidRPr="009A02C9" w:rsidRDefault="00DD2E6C" w:rsidP="00CD17FF">
            <w:pPr>
              <w:numPr>
                <w:ilvl w:val="0"/>
                <w:numId w:val="8"/>
              </w:numPr>
              <w:spacing w:before="120" w:after="120" w:line="240" w:lineRule="auto"/>
              <w:ind w:left="304" w:hanging="283"/>
              <w:jc w:val="both"/>
              <w:outlineLvl w:val="2"/>
              <w:rPr>
                <w:rFonts w:asciiTheme="minorHAnsi" w:hAnsiTheme="minorHAnsi" w:cstheme="minorHAnsi"/>
                <w:lang w:val="en-GB" w:eastAsia="pl-PL"/>
              </w:rPr>
            </w:pPr>
            <w:r w:rsidRPr="009A02C9">
              <w:rPr>
                <w:rFonts w:asciiTheme="minorHAnsi" w:hAnsiTheme="minorHAnsi" w:cstheme="minorHAnsi"/>
                <w:lang w:val="en-GB" w:eastAsia="pl-PL"/>
              </w:rPr>
              <w:lastRenderedPageBreak/>
              <w:t>Contact details of academic supervisors or referees.</w:t>
            </w:r>
          </w:p>
          <w:p w14:paraId="40D6B63F" w14:textId="77777777" w:rsidR="00DD2E6C" w:rsidRPr="009A02C9" w:rsidRDefault="00DD2E6C" w:rsidP="00CD17FF">
            <w:pPr>
              <w:pStyle w:val="Nagwek3"/>
              <w:numPr>
                <w:ilvl w:val="0"/>
                <w:numId w:val="8"/>
              </w:numPr>
              <w:spacing w:before="120" w:beforeAutospacing="0" w:after="120" w:afterAutospacing="0"/>
              <w:ind w:left="304" w:hanging="283"/>
              <w:jc w:val="both"/>
              <w:rPr>
                <w:rFonts w:asciiTheme="minorHAnsi" w:hAnsiTheme="minorHAnsi" w:cstheme="minorHAnsi"/>
                <w:b w:val="0"/>
                <w:bCs w:val="0"/>
                <w:sz w:val="18"/>
                <w:szCs w:val="18"/>
                <w:lang w:val="en-GB"/>
              </w:rPr>
            </w:pPr>
            <w:r w:rsidRPr="009A02C9">
              <w:rPr>
                <w:rFonts w:asciiTheme="minorHAnsi" w:hAnsiTheme="minorHAnsi" w:cstheme="minorHAnsi"/>
                <w:b w:val="0"/>
                <w:bCs w:val="0"/>
                <w:sz w:val="22"/>
                <w:szCs w:val="22"/>
                <w:lang w:val="en-GB"/>
              </w:rPr>
              <w:t>Candidates must meet the eligibility criteria according to the NCN scholarship regulations for the MAESTRO 12 competition:</w:t>
            </w:r>
          </w:p>
          <w:p w14:paraId="081A6296" w14:textId="77777777" w:rsidR="00DD2E6C" w:rsidRPr="009A02C9" w:rsidRDefault="00DD2E6C" w:rsidP="00CD17FF">
            <w:pPr>
              <w:pStyle w:val="Nagwek3"/>
              <w:numPr>
                <w:ilvl w:val="0"/>
                <w:numId w:val="8"/>
              </w:numPr>
              <w:spacing w:before="120" w:beforeAutospacing="0" w:after="120" w:afterAutospacing="0"/>
              <w:ind w:left="304" w:hanging="283"/>
              <w:jc w:val="both"/>
              <w:rPr>
                <w:rFonts w:asciiTheme="minorHAnsi" w:hAnsiTheme="minorHAnsi" w:cstheme="minorHAnsi"/>
                <w:b w:val="0"/>
                <w:bCs w:val="0"/>
                <w:sz w:val="22"/>
                <w:szCs w:val="22"/>
                <w:lang w:val="en-GB"/>
              </w:rPr>
            </w:pPr>
            <w:hyperlink r:id="rId11" w:history="1">
              <w:r w:rsidRPr="009A02C9">
                <w:rPr>
                  <w:rFonts w:asciiTheme="minorHAnsi" w:hAnsiTheme="minorHAnsi" w:cstheme="minorHAnsi"/>
                  <w:b w:val="0"/>
                  <w:bCs w:val="0"/>
                  <w:sz w:val="22"/>
                  <w:szCs w:val="22"/>
                  <w:lang w:val="en-GB"/>
                </w:rPr>
                <w:t>https://www.ncn.gov.pl/sites/default/files/pliki/uchwaly-rady/2019/uchwala25_2019-zal1.pdf</w:t>
              </w:r>
            </w:hyperlink>
          </w:p>
          <w:p w14:paraId="6A67B66C" w14:textId="7744C3D8" w:rsidR="00DD2E6C" w:rsidRPr="00451F8D" w:rsidRDefault="00DD2E6C" w:rsidP="00CD17FF">
            <w:pPr>
              <w:pStyle w:val="Nagwek3"/>
              <w:numPr>
                <w:ilvl w:val="0"/>
                <w:numId w:val="8"/>
              </w:numPr>
              <w:spacing w:before="120" w:beforeAutospacing="0" w:after="120" w:afterAutospacing="0"/>
              <w:ind w:left="304" w:hanging="283"/>
              <w:jc w:val="both"/>
              <w:rPr>
                <w:rFonts w:asciiTheme="minorHAnsi" w:hAnsiTheme="minorHAnsi" w:cstheme="minorHAnsi"/>
                <w:b w:val="0"/>
                <w:bCs w:val="0"/>
                <w:sz w:val="22"/>
                <w:szCs w:val="22"/>
              </w:rPr>
            </w:pPr>
            <w:r w:rsidRPr="0035443C">
              <w:rPr>
                <w:rFonts w:asciiTheme="minorHAnsi" w:hAnsiTheme="minorHAnsi" w:cstheme="minorHAnsi"/>
                <w:b w:val="0"/>
                <w:bCs w:val="0"/>
                <w:sz w:val="22"/>
                <w:szCs w:val="22"/>
              </w:rPr>
              <w:t xml:space="preserve">Kandydaci zostaną wyłonieni w drodze otwartego konkursu, </w:t>
            </w:r>
            <w:r>
              <w:rPr>
                <w:rFonts w:asciiTheme="minorHAnsi" w:hAnsiTheme="minorHAnsi" w:cstheme="minorHAnsi"/>
                <w:b w:val="0"/>
                <w:bCs w:val="0"/>
                <w:sz w:val="22"/>
                <w:szCs w:val="22"/>
              </w:rPr>
              <w:t>nabór będzie trwał</w:t>
            </w:r>
            <w:r w:rsidRPr="0035443C">
              <w:rPr>
                <w:rFonts w:asciiTheme="minorHAnsi" w:hAnsiTheme="minorHAnsi" w:cstheme="minorHAnsi"/>
                <w:b w:val="0"/>
                <w:bCs w:val="0"/>
                <w:sz w:val="22"/>
                <w:szCs w:val="22"/>
              </w:rPr>
              <w:t xml:space="preserve"> do czasu znalezienia odpowiedniego kandydata, spełniającego wszystkie wymagania.</w:t>
            </w:r>
          </w:p>
        </w:tc>
      </w:tr>
      <w:tr w:rsidR="00DD2E6C" w:rsidRPr="00DD2E6C" w14:paraId="11E7B745"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7D5A1FB8" w14:textId="5D48B91B"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lang w:val="en-US"/>
              </w:rPr>
              <w:lastRenderedPageBreak/>
              <w:t>We offer</w:t>
            </w:r>
          </w:p>
        </w:tc>
        <w:tc>
          <w:tcPr>
            <w:tcW w:w="6080" w:type="dxa"/>
            <w:tcBorders>
              <w:top w:val="single" w:sz="4" w:space="0" w:color="0070C0"/>
              <w:left w:val="nil"/>
              <w:bottom w:val="single" w:sz="4" w:space="0" w:color="0070C0"/>
            </w:tcBorders>
            <w:vAlign w:val="center"/>
          </w:tcPr>
          <w:p w14:paraId="057FC651" w14:textId="6B0E8048" w:rsidR="00DD2E6C" w:rsidRPr="00DD2E6C" w:rsidRDefault="00DD2E6C" w:rsidP="00DD2E6C">
            <w:pPr>
              <w:pStyle w:val="Nagwek3"/>
              <w:spacing w:before="120" w:beforeAutospacing="0" w:after="120" w:afterAutospacing="0"/>
              <w:jc w:val="both"/>
              <w:rPr>
                <w:rFonts w:asciiTheme="minorHAnsi" w:hAnsiTheme="minorHAnsi" w:cstheme="minorHAnsi"/>
                <w:b w:val="0"/>
                <w:bCs w:val="0"/>
                <w:sz w:val="22"/>
                <w:szCs w:val="22"/>
                <w:lang w:val="en-GB"/>
              </w:rPr>
            </w:pPr>
            <w:r w:rsidRPr="009A02C9">
              <w:rPr>
                <w:rFonts w:asciiTheme="minorHAnsi" w:hAnsiTheme="minorHAnsi" w:cstheme="minorHAnsi"/>
                <w:b w:val="0"/>
                <w:bCs w:val="0"/>
                <w:sz w:val="22"/>
                <w:szCs w:val="22"/>
                <w:lang w:val="en-GB"/>
              </w:rPr>
              <w:t>Our laboratory employs a wide range of experimental techniques, including microarrays, deep RNA/DNA sequencing, fluorescence in situ hybridization (FISH), nucleic acid purification, cloning, genotyping, sequencing and hybridization, western blotting, immunoprecipitation, immunohistochemistry, mammalian cell culture, transfection and transduction, confocal microscopy, single-molecule microscopy, and animal models of disease.</w:t>
            </w:r>
          </w:p>
        </w:tc>
      </w:tr>
      <w:tr w:rsidR="00DD2E6C" w:rsidRPr="00955BC9" w14:paraId="36672597"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2C6FE20C" w14:textId="39D1E8E2"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 xml:space="preserve">Application </w:t>
            </w:r>
            <w:proofErr w:type="spellStart"/>
            <w:r w:rsidRPr="009A02C9">
              <w:rPr>
                <w:rFonts w:asciiTheme="minorHAnsi" w:hAnsiTheme="minorHAnsi" w:cstheme="minorHAnsi"/>
                <w:b w:val="0"/>
                <w:bCs w:val="0"/>
                <w:sz w:val="22"/>
                <w:szCs w:val="22"/>
              </w:rPr>
              <w:t>submission</w:t>
            </w:r>
            <w:proofErr w:type="spellEnd"/>
          </w:p>
        </w:tc>
        <w:tc>
          <w:tcPr>
            <w:tcW w:w="6080" w:type="dxa"/>
            <w:tcBorders>
              <w:top w:val="single" w:sz="4" w:space="0" w:color="0070C0"/>
              <w:left w:val="nil"/>
              <w:bottom w:val="single" w:sz="4" w:space="0" w:color="0070C0"/>
            </w:tcBorders>
            <w:vAlign w:val="center"/>
          </w:tcPr>
          <w:p w14:paraId="5B3FB748" w14:textId="5D6B14C0" w:rsidR="00DD2E6C" w:rsidRPr="00451F8D" w:rsidRDefault="00DD2E6C" w:rsidP="00DD2E6C">
            <w:pPr>
              <w:spacing w:before="120" w:after="120" w:line="240" w:lineRule="auto"/>
              <w:ind w:left="360"/>
              <w:rPr>
                <w:rFonts w:asciiTheme="minorHAnsi" w:hAnsiTheme="minorHAnsi" w:cstheme="minorHAnsi"/>
              </w:rPr>
            </w:pPr>
            <w:hyperlink r:id="rId12" w:history="1">
              <w:r w:rsidRPr="00451F8D">
                <w:rPr>
                  <w:rStyle w:val="Hipercze"/>
                  <w:rFonts w:asciiTheme="minorHAnsi" w:hAnsiTheme="minorHAnsi" w:cstheme="minorHAnsi"/>
                </w:rPr>
                <w:t>praca-ibmib@amu.edu.pl</w:t>
              </w:r>
            </w:hyperlink>
          </w:p>
        </w:tc>
      </w:tr>
      <w:tr w:rsidR="00DD2E6C" w:rsidRPr="0016777D" w14:paraId="18D0A06D" w14:textId="77777777" w:rsidTr="00DD2E6C">
        <w:trPr>
          <w:trHeight w:val="510"/>
        </w:trPr>
        <w:tc>
          <w:tcPr>
            <w:tcW w:w="3132" w:type="dxa"/>
            <w:tcBorders>
              <w:top w:val="single" w:sz="4" w:space="0" w:color="0070C0"/>
              <w:bottom w:val="single" w:sz="4" w:space="0" w:color="0070C0"/>
              <w:right w:val="nil"/>
            </w:tcBorders>
            <w:shd w:val="clear" w:color="auto" w:fill="F2F2F2" w:themeFill="background1" w:themeFillShade="F2"/>
            <w:vAlign w:val="center"/>
          </w:tcPr>
          <w:p w14:paraId="2E19E2EE" w14:textId="7D8CDD2A" w:rsidR="00DD2E6C" w:rsidRPr="00451F8D" w:rsidRDefault="00DD2E6C" w:rsidP="00DD2E6C">
            <w:pPr>
              <w:pStyle w:val="Nagwek3"/>
              <w:spacing w:before="120" w:beforeAutospacing="0" w:after="120" w:afterAutospacing="0"/>
              <w:rPr>
                <w:rFonts w:asciiTheme="minorHAnsi" w:hAnsiTheme="minorHAnsi" w:cstheme="minorHAnsi"/>
                <w:b w:val="0"/>
                <w:bCs w:val="0"/>
                <w:sz w:val="22"/>
                <w:szCs w:val="22"/>
              </w:rPr>
            </w:pPr>
            <w:r w:rsidRPr="009A02C9">
              <w:rPr>
                <w:rFonts w:asciiTheme="minorHAnsi" w:hAnsiTheme="minorHAnsi" w:cstheme="minorHAnsi"/>
                <w:b w:val="0"/>
                <w:bCs w:val="0"/>
                <w:sz w:val="22"/>
                <w:szCs w:val="22"/>
              </w:rPr>
              <w:t>Application deadline:</w:t>
            </w:r>
          </w:p>
        </w:tc>
        <w:tc>
          <w:tcPr>
            <w:tcW w:w="6080" w:type="dxa"/>
            <w:tcBorders>
              <w:top w:val="single" w:sz="4" w:space="0" w:color="0070C0"/>
              <w:left w:val="nil"/>
              <w:bottom w:val="single" w:sz="4" w:space="0" w:color="0070C0"/>
            </w:tcBorders>
            <w:vAlign w:val="center"/>
          </w:tcPr>
          <w:p w14:paraId="32238C78" w14:textId="44D9FB0B" w:rsidR="00DD2E6C" w:rsidRPr="00B16982" w:rsidRDefault="00DD2E6C" w:rsidP="00DD2E6C">
            <w:pPr>
              <w:spacing w:before="120" w:after="120" w:line="240" w:lineRule="auto"/>
              <w:ind w:left="360"/>
              <w:rPr>
                <w:rFonts w:asciiTheme="minorHAnsi" w:hAnsiTheme="minorHAnsi" w:cstheme="minorHAnsi"/>
              </w:rPr>
            </w:pPr>
            <w:r>
              <w:rPr>
                <w:rFonts w:asciiTheme="minorHAnsi" w:hAnsiTheme="minorHAnsi" w:cstheme="minorHAnsi"/>
              </w:rPr>
              <w:t>15.11.2025</w:t>
            </w:r>
            <w:r w:rsidRPr="00B16982">
              <w:rPr>
                <w:rFonts w:asciiTheme="minorHAnsi" w:hAnsiTheme="minorHAnsi" w:cstheme="minorHAnsi"/>
              </w:rPr>
              <w:t xml:space="preserve">, 23:59:59 </w:t>
            </w:r>
          </w:p>
        </w:tc>
      </w:tr>
    </w:tbl>
    <w:p w14:paraId="41D72140" w14:textId="77777777" w:rsidR="009C17F5" w:rsidRPr="007C2D23" w:rsidRDefault="009C17F5" w:rsidP="00A42395">
      <w:pPr>
        <w:rPr>
          <w:rFonts w:asciiTheme="minorHAnsi" w:hAnsiTheme="minorHAnsi" w:cstheme="minorHAnsi"/>
          <w:color w:val="C00000"/>
          <w:sz w:val="20"/>
          <w:szCs w:val="20"/>
        </w:rPr>
      </w:pPr>
    </w:p>
    <w:p w14:paraId="752C8FCA" w14:textId="77777777" w:rsidR="00DD2E6C" w:rsidRPr="00706E13" w:rsidRDefault="00DD2E6C" w:rsidP="00DD2E6C">
      <w:pPr>
        <w:jc w:val="both"/>
        <w:rPr>
          <w:rFonts w:asciiTheme="minorHAnsi" w:hAnsiTheme="minorHAnsi" w:cstheme="minorBidi"/>
          <w:b/>
          <w:bCs/>
          <w:color w:val="000000" w:themeColor="text1"/>
          <w:sz w:val="20"/>
          <w:szCs w:val="20"/>
        </w:rPr>
      </w:pPr>
      <w:proofErr w:type="spellStart"/>
      <w:r w:rsidRPr="00706E13">
        <w:rPr>
          <w:rFonts w:asciiTheme="minorHAnsi" w:hAnsiTheme="minorHAnsi" w:cstheme="minorBidi"/>
          <w:b/>
          <w:bCs/>
          <w:color w:val="000000" w:themeColor="text1"/>
          <w:sz w:val="20"/>
          <w:szCs w:val="20"/>
        </w:rPr>
        <w:t>Required</w:t>
      </w:r>
      <w:proofErr w:type="spellEnd"/>
      <w:r w:rsidRPr="00706E13">
        <w:rPr>
          <w:rFonts w:asciiTheme="minorHAnsi" w:hAnsiTheme="minorHAnsi" w:cstheme="minorBidi"/>
          <w:b/>
          <w:bCs/>
          <w:color w:val="000000" w:themeColor="text1"/>
          <w:sz w:val="20"/>
          <w:szCs w:val="20"/>
        </w:rPr>
        <w:t xml:space="preserve"> GDPR </w:t>
      </w:r>
      <w:proofErr w:type="spellStart"/>
      <w:r w:rsidRPr="00706E13">
        <w:rPr>
          <w:rFonts w:asciiTheme="minorHAnsi" w:hAnsiTheme="minorHAnsi" w:cstheme="minorBidi"/>
          <w:b/>
          <w:bCs/>
          <w:color w:val="000000" w:themeColor="text1"/>
          <w:sz w:val="20"/>
          <w:szCs w:val="20"/>
        </w:rPr>
        <w:t>clause</w:t>
      </w:r>
      <w:proofErr w:type="spellEnd"/>
    </w:p>
    <w:p w14:paraId="49952ADF" w14:textId="77777777" w:rsidR="00DD2E6C" w:rsidRPr="009A02C9" w:rsidRDefault="00DD2E6C" w:rsidP="00DD2E6C">
      <w:pPr>
        <w:jc w:val="both"/>
        <w:rPr>
          <w:rFonts w:eastAsia="Calibri" w:cs="Calibri"/>
          <w:i/>
          <w:iCs/>
          <w:color w:val="FF0000"/>
          <w:lang w:val="en-GB"/>
        </w:rPr>
      </w:pPr>
      <w:r w:rsidRPr="009A02C9">
        <w:rPr>
          <w:rFonts w:eastAsia="Calibri" w:cs="Calibri"/>
          <w:i/>
          <w:iCs/>
          <w:color w:val="FF0000"/>
          <w:sz w:val="20"/>
          <w:szCs w:val="20"/>
          <w:lang w:val="en-GB"/>
        </w:rPr>
        <w:t>“ I consent to the processing of my personal data for the purposes necessary to carry out the recruitment process, in accordance with Regulation (EU) 2016/679 of the European Parliament and of the Council of 27 April 2016 on the protection of individuals with regard to the processing of personal data and on the free movement of such data, and repealing Directive 95/46/EC (GDPR).</w:t>
      </w:r>
      <w:r>
        <w:rPr>
          <w:rFonts w:eastAsia="Calibri" w:cs="Calibri"/>
          <w:i/>
          <w:iCs/>
          <w:color w:val="FF0000"/>
          <w:sz w:val="20"/>
          <w:szCs w:val="20"/>
          <w:lang w:val="en-GB"/>
        </w:rPr>
        <w:t>”</w:t>
      </w:r>
    </w:p>
    <w:p w14:paraId="7A9A9BD4" w14:textId="77777777" w:rsidR="00DD2E6C" w:rsidRPr="00DD2E6C" w:rsidRDefault="00DD2E6C" w:rsidP="00DD2E6C">
      <w:pPr>
        <w:pStyle w:val="NormalnyWeb"/>
        <w:shd w:val="clear" w:color="auto" w:fill="F9FAFB"/>
        <w:jc w:val="both"/>
        <w:rPr>
          <w:rStyle w:val="Pogrubienie"/>
          <w:rFonts w:asciiTheme="minorHAnsi" w:hAnsiTheme="minorHAnsi" w:cstheme="minorHAnsi"/>
          <w:color w:val="1E1E1E"/>
          <w:sz w:val="18"/>
          <w:szCs w:val="18"/>
          <w:lang w:val="en-GB"/>
        </w:rPr>
      </w:pPr>
      <w:r w:rsidRPr="00DD2E6C">
        <w:rPr>
          <w:rStyle w:val="Pogrubienie"/>
          <w:rFonts w:asciiTheme="minorHAnsi" w:hAnsiTheme="minorHAnsi" w:cstheme="minorHAnsi"/>
          <w:color w:val="1E1E1E"/>
          <w:sz w:val="18"/>
          <w:szCs w:val="18"/>
          <w:lang w:val="en-GB"/>
        </w:rPr>
        <w:t>GDPR Information Clause:</w:t>
      </w:r>
    </w:p>
    <w:p w14:paraId="185906A9" w14:textId="77777777" w:rsidR="00DD2E6C" w:rsidRPr="00706E13" w:rsidRDefault="00DD2E6C" w:rsidP="00DD2E6C">
      <w:pPr>
        <w:pStyle w:val="NormalnyWeb"/>
        <w:shd w:val="clear" w:color="auto" w:fill="F9FAFB"/>
        <w:jc w:val="both"/>
        <w:rPr>
          <w:rFonts w:asciiTheme="minorHAnsi" w:hAnsiTheme="minorHAnsi" w:cstheme="minorHAnsi"/>
          <w:color w:val="1E1E1E"/>
          <w:sz w:val="20"/>
          <w:szCs w:val="20"/>
          <w:lang w:val="en-GB"/>
        </w:rPr>
      </w:pPr>
      <w:r w:rsidRPr="00706E13">
        <w:rPr>
          <w:rFonts w:asciiTheme="minorHAnsi" w:hAnsiTheme="minorHAnsi" w:cstheme="minorHAnsi"/>
          <w:color w:val="1E1E1E"/>
          <w:sz w:val="20"/>
          <w:szCs w:val="20"/>
          <w:lang w:val="en-GB"/>
        </w:rPr>
        <w:t>In accordance with Article 13 of the General Data Protection Regulation of 27 April 2016 (Official Journal of the EU L 119 of 04.05.2016), we inform you that:</w:t>
      </w:r>
    </w:p>
    <w:p w14:paraId="2A613193" w14:textId="77777777" w:rsidR="00DD2E6C" w:rsidRPr="00706E13" w:rsidRDefault="00DD2E6C" w:rsidP="00DD2E6C">
      <w:pPr>
        <w:numPr>
          <w:ilvl w:val="0"/>
          <w:numId w:val="12"/>
        </w:numPr>
        <w:spacing w:after="0"/>
        <w:ind w:left="714" w:hanging="357"/>
        <w:rPr>
          <w:rFonts w:asciiTheme="minorHAnsi" w:hAnsiTheme="minorHAnsi" w:cstheme="minorHAnsi"/>
          <w:sz w:val="20"/>
          <w:szCs w:val="20"/>
        </w:rPr>
      </w:pPr>
      <w:r w:rsidRPr="00706E13">
        <w:rPr>
          <w:rFonts w:asciiTheme="minorHAnsi" w:hAnsiTheme="minorHAnsi" w:cstheme="minorHAnsi"/>
          <w:sz w:val="20"/>
          <w:szCs w:val="20"/>
          <w:lang w:val="en-GB"/>
        </w:rPr>
        <w:t xml:space="preserve">The data controller is Adam Mickiewicz University in </w:t>
      </w:r>
      <w:proofErr w:type="spellStart"/>
      <w:r w:rsidRPr="00706E13">
        <w:rPr>
          <w:rFonts w:asciiTheme="minorHAnsi" w:hAnsiTheme="minorHAnsi" w:cstheme="minorHAnsi"/>
          <w:sz w:val="20"/>
          <w:szCs w:val="20"/>
          <w:lang w:val="en-GB"/>
        </w:rPr>
        <w:t>Poznań</w:t>
      </w:r>
      <w:proofErr w:type="spellEnd"/>
      <w:r w:rsidRPr="00706E13">
        <w:rPr>
          <w:rFonts w:asciiTheme="minorHAnsi" w:hAnsiTheme="minorHAnsi" w:cstheme="minorHAnsi"/>
          <w:sz w:val="20"/>
          <w:szCs w:val="20"/>
          <w:lang w:val="en-GB"/>
        </w:rPr>
        <w:t>,</w:t>
      </w:r>
      <w:r w:rsidRPr="00706E13">
        <w:rPr>
          <w:rFonts w:asciiTheme="minorHAnsi" w:hAnsiTheme="minorHAnsi" w:cstheme="minorHAnsi"/>
          <w:sz w:val="20"/>
          <w:szCs w:val="20"/>
          <w:lang w:val="en-GB"/>
        </w:rPr>
        <w:br/>
        <w:t xml:space="preserve">Address: ul. </w:t>
      </w:r>
      <w:r w:rsidRPr="00706E13">
        <w:rPr>
          <w:rFonts w:asciiTheme="minorHAnsi" w:hAnsiTheme="minorHAnsi" w:cstheme="minorHAnsi"/>
          <w:sz w:val="20"/>
          <w:szCs w:val="20"/>
        </w:rPr>
        <w:t>Henryka Wieniawskiego 1, 61-712 Poznań, Poland.</w:t>
      </w:r>
    </w:p>
    <w:p w14:paraId="6DB7A65F" w14:textId="77777777" w:rsidR="00DD2E6C" w:rsidRPr="00706E13" w:rsidRDefault="00DD2E6C" w:rsidP="00DD2E6C">
      <w:pPr>
        <w:numPr>
          <w:ilvl w:val="0"/>
          <w:numId w:val="12"/>
        </w:numPr>
        <w:spacing w:after="0"/>
        <w:ind w:left="714" w:hanging="357"/>
        <w:rPr>
          <w:rFonts w:asciiTheme="minorHAnsi" w:hAnsiTheme="minorHAnsi" w:cstheme="minorHAnsi"/>
          <w:sz w:val="20"/>
          <w:szCs w:val="20"/>
          <w:lang w:val="en-GB"/>
        </w:rPr>
      </w:pPr>
      <w:r w:rsidRPr="00706E13">
        <w:rPr>
          <w:rFonts w:asciiTheme="minorHAnsi" w:hAnsiTheme="minorHAnsi" w:cstheme="minorHAnsi"/>
          <w:sz w:val="20"/>
          <w:szCs w:val="20"/>
          <w:lang w:val="en-GB"/>
        </w:rPr>
        <w:t>The Data Protection Officer (DPO) can be contacted at: iod@amu.edu.pl</w:t>
      </w:r>
    </w:p>
    <w:p w14:paraId="39767FC6"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purpose of processing your personal data is the recruitment process for this position.</w:t>
      </w:r>
    </w:p>
    <w:p w14:paraId="1210B31D"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The legal basis for processing your data is Article 6(1)(a) of the GDPR and the Polish Labour Code of 26 June 1974 (Journal of Laws 1998, No. 21, item 94, as amended).</w:t>
      </w:r>
    </w:p>
    <w:p w14:paraId="25B40D65"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be stored for 6 months after the recruitment process ends.</w:t>
      </w:r>
    </w:p>
    <w:p w14:paraId="07729577"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shared with third parties except as required by law.</w:t>
      </w:r>
    </w:p>
    <w:p w14:paraId="51DCAB6E"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You have the right to access, rectify, delete, restrict processing, transfer your data, object to processing, and withdraw consent at any time.</w:t>
      </w:r>
    </w:p>
    <w:p w14:paraId="19A97374"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 xml:space="preserve">You may lodge a complaint with the President of the Personal Data Protection Office, ul. </w:t>
      </w:r>
      <w:proofErr w:type="spellStart"/>
      <w:r w:rsidRPr="00706E13">
        <w:rPr>
          <w:rFonts w:asciiTheme="minorHAnsi" w:hAnsiTheme="minorHAnsi" w:cstheme="minorHAnsi"/>
          <w:sz w:val="20"/>
          <w:szCs w:val="20"/>
          <w:lang w:val="en-GB" w:eastAsia="pl-PL"/>
        </w:rPr>
        <w:t>Stawki</w:t>
      </w:r>
      <w:proofErr w:type="spellEnd"/>
      <w:r w:rsidRPr="00706E13">
        <w:rPr>
          <w:rFonts w:asciiTheme="minorHAnsi" w:hAnsiTheme="minorHAnsi" w:cstheme="minorHAnsi"/>
          <w:sz w:val="20"/>
          <w:szCs w:val="20"/>
          <w:lang w:val="en-GB" w:eastAsia="pl-PL"/>
        </w:rPr>
        <w:t xml:space="preserve"> 2, 00–193 Warsaw.</w:t>
      </w:r>
    </w:p>
    <w:p w14:paraId="14BEF07A"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Providing personal data is mandatory as required by law; in other cases, it is voluntary.</w:t>
      </w:r>
    </w:p>
    <w:p w14:paraId="7C1C28CC" w14:textId="77777777" w:rsidR="00DD2E6C" w:rsidRPr="00706E13" w:rsidRDefault="00DD2E6C" w:rsidP="00DD2E6C">
      <w:pPr>
        <w:pStyle w:val="Akapitzlist"/>
        <w:numPr>
          <w:ilvl w:val="0"/>
          <w:numId w:val="12"/>
        </w:numPr>
        <w:spacing w:after="0" w:line="240" w:lineRule="auto"/>
        <w:ind w:left="714" w:hanging="357"/>
        <w:rPr>
          <w:rFonts w:asciiTheme="minorHAnsi" w:hAnsiTheme="minorHAnsi" w:cstheme="minorHAnsi"/>
          <w:sz w:val="20"/>
          <w:szCs w:val="20"/>
          <w:lang w:val="en-GB" w:eastAsia="pl-PL"/>
        </w:rPr>
      </w:pPr>
      <w:r w:rsidRPr="00706E13">
        <w:rPr>
          <w:rFonts w:asciiTheme="minorHAnsi" w:hAnsiTheme="minorHAnsi" w:cstheme="minorHAnsi"/>
          <w:sz w:val="20"/>
          <w:szCs w:val="20"/>
          <w:lang w:val="en-GB" w:eastAsia="pl-PL"/>
        </w:rPr>
        <w:t>Data will not be processed automatically or subjected to profiling.</w:t>
      </w:r>
    </w:p>
    <w:p w14:paraId="5F5607F4" w14:textId="77777777" w:rsidR="00DD2E6C" w:rsidRDefault="00DD2E6C" w:rsidP="00DD2E6C">
      <w:pPr>
        <w:rPr>
          <w:rFonts w:ascii="Arial" w:hAnsi="Arial" w:cs="Arial"/>
          <w:lang w:val="en-GB"/>
        </w:rPr>
      </w:pPr>
    </w:p>
    <w:p w14:paraId="1BDE5145" w14:textId="6AAD00BF" w:rsidR="00DD2E6C" w:rsidRPr="009A02C9" w:rsidRDefault="00DD2E6C" w:rsidP="00DD2E6C">
      <w:pPr>
        <w:rPr>
          <w:rFonts w:eastAsia="Calibri" w:cs="Calibri"/>
          <w:color w:val="000000" w:themeColor="text1"/>
          <w:sz w:val="18"/>
          <w:szCs w:val="18"/>
          <w:lang w:val="en-GB"/>
        </w:rPr>
      </w:pPr>
      <w:r w:rsidRPr="009A02C9">
        <w:rPr>
          <w:rFonts w:eastAsia="Calibri" w:cs="Calibri"/>
          <w:b/>
          <w:bCs/>
          <w:color w:val="000000" w:themeColor="text1"/>
          <w:sz w:val="18"/>
          <w:szCs w:val="18"/>
          <w:u w:val="single"/>
          <w:lang w:val="en-GB"/>
        </w:rPr>
        <w:t>Internal Reporting Procedure:</w:t>
      </w:r>
    </w:p>
    <w:p w14:paraId="3AE09404" w14:textId="77777777" w:rsidR="00DD2E6C" w:rsidRPr="009A02C9" w:rsidRDefault="00DD2E6C" w:rsidP="00DD2E6C">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lastRenderedPageBreak/>
        <w:t xml:space="preserve">Information regarding the internal reporting procedure, as defined in the Act of 14 June 2024 on the Protection of Whistleblowers (Journal of Laws, item 928), announced by Regulation No. 5/2023/2024 of the Rector of Adam Mickiewicz University in </w:t>
      </w:r>
      <w:proofErr w:type="spellStart"/>
      <w:r w:rsidRPr="009A02C9">
        <w:rPr>
          <w:rFonts w:eastAsia="Calibri" w:cs="Calibri"/>
          <w:color w:val="000000" w:themeColor="text1"/>
          <w:sz w:val="18"/>
          <w:szCs w:val="18"/>
          <w:lang w:val="en-GB"/>
        </w:rPr>
        <w:t>Poznań</w:t>
      </w:r>
      <w:proofErr w:type="spellEnd"/>
      <w:r w:rsidRPr="009A02C9">
        <w:rPr>
          <w:rFonts w:eastAsia="Calibri" w:cs="Calibri"/>
          <w:color w:val="000000" w:themeColor="text1"/>
          <w:sz w:val="18"/>
          <w:szCs w:val="18"/>
          <w:lang w:val="en-GB"/>
        </w:rPr>
        <w:t xml:space="preserve"> on 17 September 2024, concerning the implementation of the Internal Reporting Regulations on legal violations and follow-up actions at AMU.</w:t>
      </w:r>
    </w:p>
    <w:p w14:paraId="549B3006" w14:textId="77777777" w:rsidR="00DD2E6C" w:rsidRPr="009A02C9" w:rsidRDefault="00DD2E6C" w:rsidP="00DD2E6C">
      <w:pPr>
        <w:ind w:left="720"/>
        <w:jc w:val="both"/>
        <w:rPr>
          <w:rFonts w:eastAsia="Calibri" w:cs="Calibri"/>
          <w:color w:val="000000" w:themeColor="text1"/>
          <w:sz w:val="18"/>
          <w:szCs w:val="18"/>
          <w:lang w:val="en-GB"/>
        </w:rPr>
      </w:pPr>
      <w:r w:rsidRPr="009A02C9">
        <w:rPr>
          <w:rFonts w:eastAsia="Calibri" w:cs="Calibri"/>
          <w:color w:val="000000" w:themeColor="text1"/>
          <w:sz w:val="18"/>
          <w:szCs w:val="18"/>
          <w:lang w:val="en-GB"/>
        </w:rPr>
        <w:t>Links to the regulation and annexes are provided below</w:t>
      </w:r>
      <w:r>
        <w:rPr>
          <w:rFonts w:eastAsia="Calibri" w:cs="Calibri"/>
          <w:color w:val="000000" w:themeColor="text1"/>
          <w:sz w:val="18"/>
          <w:szCs w:val="18"/>
          <w:lang w:val="en-GB"/>
        </w:rPr>
        <w:t>:</w:t>
      </w:r>
    </w:p>
    <w:p w14:paraId="608E3676" w14:textId="77777777" w:rsidR="00DD2E6C" w:rsidRPr="009A02C9" w:rsidRDefault="00DD2E6C" w:rsidP="00DD2E6C">
      <w:pPr>
        <w:ind w:left="720"/>
        <w:jc w:val="both"/>
        <w:rPr>
          <w:rFonts w:eastAsia="Calibri" w:cs="Calibri"/>
          <w:color w:val="000000" w:themeColor="text1"/>
          <w:sz w:val="18"/>
          <w:szCs w:val="18"/>
          <w:lang w:val="en-GB"/>
        </w:rPr>
      </w:pPr>
    </w:p>
    <w:p w14:paraId="4ACC365E" w14:textId="77777777" w:rsidR="00DD2E6C" w:rsidRPr="00DD2E6C" w:rsidRDefault="00DD2E6C" w:rsidP="00DD2E6C">
      <w:pPr>
        <w:ind w:left="720"/>
        <w:jc w:val="both"/>
        <w:rPr>
          <w:rFonts w:eastAsia="Calibri" w:cs="Calibri"/>
          <w:color w:val="000000" w:themeColor="text1"/>
          <w:sz w:val="18"/>
          <w:szCs w:val="18"/>
          <w:lang w:val="en-GB"/>
        </w:rPr>
      </w:pPr>
      <w:hyperlink r:id="rId13">
        <w:r w:rsidRPr="00DD2E6C">
          <w:rPr>
            <w:rStyle w:val="Hipercze"/>
            <w:rFonts w:eastAsia="Calibri" w:cs="Calibri"/>
            <w:b/>
            <w:bCs/>
            <w:sz w:val="18"/>
            <w:szCs w:val="18"/>
            <w:lang w:val="en-GB"/>
          </w:rPr>
          <w:t>https://amu.edu.pl/__data/assets/pdf_file/0034/605968/ZR-5-2023-2024.pdf</w:t>
        </w:r>
      </w:hyperlink>
    </w:p>
    <w:p w14:paraId="174E8466" w14:textId="77777777" w:rsidR="00DD2E6C" w:rsidRPr="00DD2E6C" w:rsidRDefault="00DD2E6C" w:rsidP="00DD2E6C">
      <w:pPr>
        <w:ind w:left="720"/>
        <w:jc w:val="both"/>
        <w:rPr>
          <w:rFonts w:eastAsia="Calibri" w:cs="Calibri"/>
          <w:color w:val="000000" w:themeColor="text1"/>
          <w:sz w:val="18"/>
          <w:szCs w:val="18"/>
          <w:lang w:val="en-GB"/>
        </w:rPr>
      </w:pPr>
      <w:hyperlink r:id="rId14">
        <w:r w:rsidRPr="00DD2E6C">
          <w:rPr>
            <w:rStyle w:val="Hipercze"/>
            <w:rFonts w:eastAsia="Calibri" w:cs="Calibri"/>
            <w:b/>
            <w:bCs/>
            <w:sz w:val="18"/>
            <w:szCs w:val="18"/>
            <w:lang w:val="en-GB"/>
          </w:rPr>
          <w:t>https://amu.edu.pl/__data/assets/pdf_file/0030/605964/Regulamin-zgloszen.pdf</w:t>
        </w:r>
      </w:hyperlink>
    </w:p>
    <w:p w14:paraId="3A3A0523" w14:textId="77777777" w:rsidR="00DD2E6C" w:rsidRPr="00DD2E6C" w:rsidRDefault="00DD2E6C" w:rsidP="00DD2E6C">
      <w:pPr>
        <w:ind w:left="720"/>
        <w:jc w:val="both"/>
        <w:rPr>
          <w:rFonts w:eastAsia="Calibri" w:cs="Calibri"/>
          <w:color w:val="000000" w:themeColor="text1"/>
          <w:sz w:val="18"/>
          <w:szCs w:val="18"/>
          <w:lang w:val="en-GB"/>
        </w:rPr>
      </w:pPr>
      <w:hyperlink r:id="rId15">
        <w:r w:rsidRPr="00DD2E6C">
          <w:rPr>
            <w:rStyle w:val="Hipercze"/>
            <w:rFonts w:eastAsia="Calibri" w:cs="Calibri"/>
            <w:b/>
            <w:bCs/>
            <w:sz w:val="18"/>
            <w:szCs w:val="18"/>
            <w:lang w:val="en-GB"/>
          </w:rPr>
          <w:t>https://amu.edu.pl/__data/assets/pdf_file/0031/605965/Klauzula-informacyjna-sygnalisci.pdf</w:t>
        </w:r>
      </w:hyperlink>
    </w:p>
    <w:p w14:paraId="3E7502AE" w14:textId="7A864B13" w:rsidR="54FC58AD" w:rsidRPr="00DD2E6C" w:rsidRDefault="54FC58AD" w:rsidP="00DD2E6C">
      <w:pPr>
        <w:rPr>
          <w:rFonts w:asciiTheme="minorHAnsi" w:hAnsiTheme="minorHAnsi" w:cstheme="minorBidi"/>
          <w:lang w:val="en-GB" w:eastAsia="pl-PL"/>
        </w:rPr>
      </w:pPr>
    </w:p>
    <w:sectPr w:rsidR="54FC58AD" w:rsidRPr="00DD2E6C" w:rsidSect="00314A37">
      <w:headerReference w:type="default" r:id="rId16"/>
      <w:footerReference w:type="default" r:id="rId1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A6A8" w14:textId="77777777" w:rsidR="00F12C30" w:rsidRDefault="00F12C30" w:rsidP="007022D1">
      <w:pPr>
        <w:spacing w:after="0" w:line="240" w:lineRule="auto"/>
      </w:pPr>
      <w:r>
        <w:separator/>
      </w:r>
    </w:p>
  </w:endnote>
  <w:endnote w:type="continuationSeparator" w:id="0">
    <w:p w14:paraId="00A7D341" w14:textId="77777777" w:rsidR="00F12C30" w:rsidRDefault="00F12C30" w:rsidP="0070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E82" w14:textId="56D40BDC" w:rsidR="00314A37" w:rsidRDefault="00314A37" w:rsidP="00384EBB">
    <w:pPr>
      <w:pStyle w:val="Stopka"/>
      <w:jc w:val="center"/>
    </w:pPr>
  </w:p>
  <w:p w14:paraId="4CEA7F74" w14:textId="77777777" w:rsidR="00314A37" w:rsidRDefault="00314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235B" w14:textId="77777777" w:rsidR="00F12C30" w:rsidRDefault="00F12C30" w:rsidP="007022D1">
      <w:pPr>
        <w:spacing w:after="0" w:line="240" w:lineRule="auto"/>
      </w:pPr>
      <w:r>
        <w:separator/>
      </w:r>
    </w:p>
  </w:footnote>
  <w:footnote w:type="continuationSeparator" w:id="0">
    <w:p w14:paraId="41EF2688" w14:textId="77777777" w:rsidR="00F12C30" w:rsidRDefault="00F12C30" w:rsidP="0070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0F8" w14:textId="77777777" w:rsidR="007022D1" w:rsidRDefault="007022D1" w:rsidP="007022D1">
    <w:pPr>
      <w:pStyle w:val="Nagwek"/>
      <w:jc w:val="center"/>
    </w:pPr>
  </w:p>
  <w:p w14:paraId="0FDC3D93" w14:textId="77777777" w:rsidR="007022D1" w:rsidRDefault="007022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979"/>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F3493"/>
    <w:multiLevelType w:val="multilevel"/>
    <w:tmpl w:val="47D87858"/>
    <w:lvl w:ilvl="0">
      <w:start w:val="1"/>
      <w:numFmt w:val="bullet"/>
      <w:lvlText w:val=""/>
      <w:lvlJc w:val="left"/>
      <w:pPr>
        <w:ind w:left="227" w:hanging="227"/>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D5E7DC5"/>
    <w:multiLevelType w:val="hybridMultilevel"/>
    <w:tmpl w:val="9774AED8"/>
    <w:lvl w:ilvl="0" w:tplc="1968F1D6">
      <w:start w:val="1"/>
      <w:numFmt w:val="decimal"/>
      <w:lvlText w:val="%1."/>
      <w:lvlJc w:val="left"/>
      <w:pPr>
        <w:ind w:left="720" w:hanging="360"/>
      </w:pPr>
    </w:lvl>
    <w:lvl w:ilvl="1" w:tplc="61D2275A">
      <w:start w:val="1"/>
      <w:numFmt w:val="lowerLetter"/>
      <w:lvlText w:val="%2."/>
      <w:lvlJc w:val="left"/>
      <w:pPr>
        <w:ind w:left="1440" w:hanging="360"/>
      </w:pPr>
    </w:lvl>
    <w:lvl w:ilvl="2" w:tplc="2E9EAF08">
      <w:start w:val="1"/>
      <w:numFmt w:val="lowerRoman"/>
      <w:lvlText w:val="%3."/>
      <w:lvlJc w:val="right"/>
      <w:pPr>
        <w:ind w:left="2160" w:hanging="180"/>
      </w:pPr>
    </w:lvl>
    <w:lvl w:ilvl="3" w:tplc="3BD496EC">
      <w:start w:val="1"/>
      <w:numFmt w:val="decimal"/>
      <w:lvlText w:val="%4."/>
      <w:lvlJc w:val="left"/>
      <w:pPr>
        <w:ind w:left="2880" w:hanging="360"/>
      </w:pPr>
    </w:lvl>
    <w:lvl w:ilvl="4" w:tplc="51103782">
      <w:start w:val="1"/>
      <w:numFmt w:val="lowerLetter"/>
      <w:lvlText w:val="%5."/>
      <w:lvlJc w:val="left"/>
      <w:pPr>
        <w:ind w:left="3600" w:hanging="360"/>
      </w:pPr>
    </w:lvl>
    <w:lvl w:ilvl="5" w:tplc="E2C2C67A">
      <w:start w:val="1"/>
      <w:numFmt w:val="lowerRoman"/>
      <w:lvlText w:val="%6."/>
      <w:lvlJc w:val="right"/>
      <w:pPr>
        <w:ind w:left="4320" w:hanging="180"/>
      </w:pPr>
    </w:lvl>
    <w:lvl w:ilvl="6" w:tplc="F138B358">
      <w:start w:val="1"/>
      <w:numFmt w:val="decimal"/>
      <w:lvlText w:val="%7."/>
      <w:lvlJc w:val="left"/>
      <w:pPr>
        <w:ind w:left="5040" w:hanging="360"/>
      </w:pPr>
    </w:lvl>
    <w:lvl w:ilvl="7" w:tplc="B994EEAC">
      <w:start w:val="1"/>
      <w:numFmt w:val="lowerLetter"/>
      <w:lvlText w:val="%8."/>
      <w:lvlJc w:val="left"/>
      <w:pPr>
        <w:ind w:left="5760" w:hanging="360"/>
      </w:pPr>
    </w:lvl>
    <w:lvl w:ilvl="8" w:tplc="F9A25900">
      <w:start w:val="1"/>
      <w:numFmt w:val="lowerRoman"/>
      <w:lvlText w:val="%9."/>
      <w:lvlJc w:val="right"/>
      <w:pPr>
        <w:ind w:left="6480" w:hanging="180"/>
      </w:pPr>
    </w:lvl>
  </w:abstractNum>
  <w:abstractNum w:abstractNumId="3" w15:restartNumberingAfterBreak="0">
    <w:nsid w:val="145B0DAB"/>
    <w:multiLevelType w:val="hybridMultilevel"/>
    <w:tmpl w:val="FFE0BF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61550"/>
    <w:multiLevelType w:val="hybridMultilevel"/>
    <w:tmpl w:val="8F5663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3116D87"/>
    <w:multiLevelType w:val="multilevel"/>
    <w:tmpl w:val="32FC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42348"/>
    <w:multiLevelType w:val="hybridMultilevel"/>
    <w:tmpl w:val="8C90EA12"/>
    <w:lvl w:ilvl="0" w:tplc="31BA14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366BBF"/>
    <w:multiLevelType w:val="hybridMultilevel"/>
    <w:tmpl w:val="90963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2C2922"/>
    <w:multiLevelType w:val="hybridMultilevel"/>
    <w:tmpl w:val="8D928A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7655FFD"/>
    <w:multiLevelType w:val="multilevel"/>
    <w:tmpl w:val="5D8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466D7"/>
    <w:multiLevelType w:val="hybridMultilevel"/>
    <w:tmpl w:val="3F703A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098914978">
    <w:abstractNumId w:val="2"/>
  </w:num>
  <w:num w:numId="2" w16cid:durableId="1320768976">
    <w:abstractNumId w:val="5"/>
  </w:num>
  <w:num w:numId="3" w16cid:durableId="328753287">
    <w:abstractNumId w:val="11"/>
  </w:num>
  <w:num w:numId="4" w16cid:durableId="1638687085">
    <w:abstractNumId w:val="3"/>
  </w:num>
  <w:num w:numId="5" w16cid:durableId="788861193">
    <w:abstractNumId w:val="10"/>
  </w:num>
  <w:num w:numId="6" w16cid:durableId="127745696">
    <w:abstractNumId w:val="8"/>
  </w:num>
  <w:num w:numId="7" w16cid:durableId="305939548">
    <w:abstractNumId w:val="7"/>
  </w:num>
  <w:num w:numId="8" w16cid:durableId="1865706496">
    <w:abstractNumId w:val="0"/>
  </w:num>
  <w:num w:numId="9" w16cid:durableId="2023898175">
    <w:abstractNumId w:val="9"/>
  </w:num>
  <w:num w:numId="10" w16cid:durableId="1326131638">
    <w:abstractNumId w:val="1"/>
  </w:num>
  <w:num w:numId="11" w16cid:durableId="8993279">
    <w:abstractNumId w:val="4"/>
  </w:num>
  <w:num w:numId="12" w16cid:durableId="1204561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11"/>
    <w:rsid w:val="00003B8F"/>
    <w:rsid w:val="00013D86"/>
    <w:rsid w:val="00021BAD"/>
    <w:rsid w:val="00071FA7"/>
    <w:rsid w:val="000801FF"/>
    <w:rsid w:val="000A4F0D"/>
    <w:rsid w:val="000B2C2E"/>
    <w:rsid w:val="000D444F"/>
    <w:rsid w:val="000E3ED0"/>
    <w:rsid w:val="001012BC"/>
    <w:rsid w:val="0011459A"/>
    <w:rsid w:val="00114C21"/>
    <w:rsid w:val="0011EF5D"/>
    <w:rsid w:val="00125EA6"/>
    <w:rsid w:val="00142388"/>
    <w:rsid w:val="00150F93"/>
    <w:rsid w:val="0016777D"/>
    <w:rsid w:val="0018135F"/>
    <w:rsid w:val="0019353D"/>
    <w:rsid w:val="00193ABA"/>
    <w:rsid w:val="001B3CFF"/>
    <w:rsid w:val="001C026E"/>
    <w:rsid w:val="001D46ED"/>
    <w:rsid w:val="001E6983"/>
    <w:rsid w:val="001F3246"/>
    <w:rsid w:val="001F4BEB"/>
    <w:rsid w:val="002013B9"/>
    <w:rsid w:val="002065E0"/>
    <w:rsid w:val="002467C9"/>
    <w:rsid w:val="002635D4"/>
    <w:rsid w:val="00265B0E"/>
    <w:rsid w:val="00266E08"/>
    <w:rsid w:val="002717F6"/>
    <w:rsid w:val="00271BAB"/>
    <w:rsid w:val="00271ED6"/>
    <w:rsid w:val="00275974"/>
    <w:rsid w:val="0028413D"/>
    <w:rsid w:val="00287F0F"/>
    <w:rsid w:val="00294926"/>
    <w:rsid w:val="002965BB"/>
    <w:rsid w:val="002A734D"/>
    <w:rsid w:val="002B1396"/>
    <w:rsid w:val="002C5EB6"/>
    <w:rsid w:val="002D1D56"/>
    <w:rsid w:val="002D7CD8"/>
    <w:rsid w:val="002F6D47"/>
    <w:rsid w:val="00314A37"/>
    <w:rsid w:val="003315A0"/>
    <w:rsid w:val="0033777E"/>
    <w:rsid w:val="0035443C"/>
    <w:rsid w:val="003627F6"/>
    <w:rsid w:val="0036574F"/>
    <w:rsid w:val="003764B0"/>
    <w:rsid w:val="00384EBB"/>
    <w:rsid w:val="003914EC"/>
    <w:rsid w:val="00392801"/>
    <w:rsid w:val="003B127A"/>
    <w:rsid w:val="003B373F"/>
    <w:rsid w:val="003B56AB"/>
    <w:rsid w:val="003B7024"/>
    <w:rsid w:val="003D4877"/>
    <w:rsid w:val="003D6757"/>
    <w:rsid w:val="003D77CB"/>
    <w:rsid w:val="003E2C25"/>
    <w:rsid w:val="004265FA"/>
    <w:rsid w:val="00432C4F"/>
    <w:rsid w:val="0043602A"/>
    <w:rsid w:val="00451F8D"/>
    <w:rsid w:val="004526C8"/>
    <w:rsid w:val="00463E55"/>
    <w:rsid w:val="004676CF"/>
    <w:rsid w:val="00477068"/>
    <w:rsid w:val="00480847"/>
    <w:rsid w:val="004D4785"/>
    <w:rsid w:val="004F3759"/>
    <w:rsid w:val="00500F97"/>
    <w:rsid w:val="00515608"/>
    <w:rsid w:val="00520773"/>
    <w:rsid w:val="00530A92"/>
    <w:rsid w:val="00540BE1"/>
    <w:rsid w:val="005662A6"/>
    <w:rsid w:val="005719AA"/>
    <w:rsid w:val="00574843"/>
    <w:rsid w:val="005756DF"/>
    <w:rsid w:val="00583053"/>
    <w:rsid w:val="0059145A"/>
    <w:rsid w:val="005A7FF8"/>
    <w:rsid w:val="005B0561"/>
    <w:rsid w:val="005B4F43"/>
    <w:rsid w:val="005E67B2"/>
    <w:rsid w:val="005F0A8A"/>
    <w:rsid w:val="006257FA"/>
    <w:rsid w:val="00635F87"/>
    <w:rsid w:val="006426CC"/>
    <w:rsid w:val="0069412A"/>
    <w:rsid w:val="006A4E95"/>
    <w:rsid w:val="006B2AB4"/>
    <w:rsid w:val="006C49E8"/>
    <w:rsid w:val="006C6192"/>
    <w:rsid w:val="006F124B"/>
    <w:rsid w:val="007022D1"/>
    <w:rsid w:val="00710E6C"/>
    <w:rsid w:val="00742A98"/>
    <w:rsid w:val="00757A54"/>
    <w:rsid w:val="00762ADF"/>
    <w:rsid w:val="0076504F"/>
    <w:rsid w:val="0077557F"/>
    <w:rsid w:val="00785D39"/>
    <w:rsid w:val="00792634"/>
    <w:rsid w:val="007C2D23"/>
    <w:rsid w:val="007F7781"/>
    <w:rsid w:val="00813E59"/>
    <w:rsid w:val="00835D15"/>
    <w:rsid w:val="008418E3"/>
    <w:rsid w:val="00842D56"/>
    <w:rsid w:val="008609BF"/>
    <w:rsid w:val="00864A77"/>
    <w:rsid w:val="008826F1"/>
    <w:rsid w:val="008A6B28"/>
    <w:rsid w:val="008B4DC9"/>
    <w:rsid w:val="008C583E"/>
    <w:rsid w:val="008E54EE"/>
    <w:rsid w:val="009225D8"/>
    <w:rsid w:val="0093385C"/>
    <w:rsid w:val="00946591"/>
    <w:rsid w:val="00951FC5"/>
    <w:rsid w:val="00955BC9"/>
    <w:rsid w:val="00956763"/>
    <w:rsid w:val="00970B6E"/>
    <w:rsid w:val="0097598B"/>
    <w:rsid w:val="009816CE"/>
    <w:rsid w:val="009C17F5"/>
    <w:rsid w:val="009F18C1"/>
    <w:rsid w:val="009F2151"/>
    <w:rsid w:val="009F2D83"/>
    <w:rsid w:val="009F3BE7"/>
    <w:rsid w:val="00A06180"/>
    <w:rsid w:val="00A2400C"/>
    <w:rsid w:val="00A32261"/>
    <w:rsid w:val="00A35AB1"/>
    <w:rsid w:val="00A42395"/>
    <w:rsid w:val="00A45736"/>
    <w:rsid w:val="00A45C09"/>
    <w:rsid w:val="00A54AC1"/>
    <w:rsid w:val="00A5653D"/>
    <w:rsid w:val="00A87A0D"/>
    <w:rsid w:val="00A93228"/>
    <w:rsid w:val="00A97A8F"/>
    <w:rsid w:val="00AF693C"/>
    <w:rsid w:val="00B04136"/>
    <w:rsid w:val="00B0798E"/>
    <w:rsid w:val="00B117DD"/>
    <w:rsid w:val="00B165C2"/>
    <w:rsid w:val="00B16982"/>
    <w:rsid w:val="00B2185B"/>
    <w:rsid w:val="00B3087C"/>
    <w:rsid w:val="00B30943"/>
    <w:rsid w:val="00B51DC4"/>
    <w:rsid w:val="00B568C0"/>
    <w:rsid w:val="00B72CB9"/>
    <w:rsid w:val="00B74E74"/>
    <w:rsid w:val="00B81B43"/>
    <w:rsid w:val="00B82358"/>
    <w:rsid w:val="00BA2DD7"/>
    <w:rsid w:val="00BC76D0"/>
    <w:rsid w:val="00BF6074"/>
    <w:rsid w:val="00C25FCF"/>
    <w:rsid w:val="00C46E19"/>
    <w:rsid w:val="00C87D32"/>
    <w:rsid w:val="00CD17FF"/>
    <w:rsid w:val="00D01833"/>
    <w:rsid w:val="00D17A6D"/>
    <w:rsid w:val="00D20B68"/>
    <w:rsid w:val="00D2629F"/>
    <w:rsid w:val="00D35509"/>
    <w:rsid w:val="00D41D8B"/>
    <w:rsid w:val="00D52B20"/>
    <w:rsid w:val="00D633FA"/>
    <w:rsid w:val="00D67C11"/>
    <w:rsid w:val="00D70F37"/>
    <w:rsid w:val="00D83828"/>
    <w:rsid w:val="00D860C8"/>
    <w:rsid w:val="00D86D1C"/>
    <w:rsid w:val="00D91B4E"/>
    <w:rsid w:val="00DA202D"/>
    <w:rsid w:val="00DB4653"/>
    <w:rsid w:val="00DB4827"/>
    <w:rsid w:val="00DD2E6C"/>
    <w:rsid w:val="00DE1E6D"/>
    <w:rsid w:val="00E03656"/>
    <w:rsid w:val="00E03C30"/>
    <w:rsid w:val="00E17993"/>
    <w:rsid w:val="00E23DB9"/>
    <w:rsid w:val="00E23F9F"/>
    <w:rsid w:val="00E4400E"/>
    <w:rsid w:val="00EA5D30"/>
    <w:rsid w:val="00EB7193"/>
    <w:rsid w:val="00EE3451"/>
    <w:rsid w:val="00EE3E80"/>
    <w:rsid w:val="00EE6361"/>
    <w:rsid w:val="00EF0363"/>
    <w:rsid w:val="00F0429D"/>
    <w:rsid w:val="00F071A1"/>
    <w:rsid w:val="00F12C30"/>
    <w:rsid w:val="00F33E03"/>
    <w:rsid w:val="00F4704A"/>
    <w:rsid w:val="00F7658A"/>
    <w:rsid w:val="00F90784"/>
    <w:rsid w:val="00FB0961"/>
    <w:rsid w:val="00FB5C4D"/>
    <w:rsid w:val="00FB7909"/>
    <w:rsid w:val="0192B131"/>
    <w:rsid w:val="019E0253"/>
    <w:rsid w:val="01ADBFBE"/>
    <w:rsid w:val="02198279"/>
    <w:rsid w:val="032E8192"/>
    <w:rsid w:val="0352FB11"/>
    <w:rsid w:val="04CA51F3"/>
    <w:rsid w:val="04CA5C8B"/>
    <w:rsid w:val="0801F2B5"/>
    <w:rsid w:val="08245750"/>
    <w:rsid w:val="099DCDAE"/>
    <w:rsid w:val="09C027B1"/>
    <w:rsid w:val="0A5F0379"/>
    <w:rsid w:val="0AE2161B"/>
    <w:rsid w:val="0B399E0F"/>
    <w:rsid w:val="0B5BF812"/>
    <w:rsid w:val="0CD563D8"/>
    <w:rsid w:val="0E306B2F"/>
    <w:rsid w:val="0EF98E80"/>
    <w:rsid w:val="101855BC"/>
    <w:rsid w:val="11680BF1"/>
    <w:rsid w:val="11A8DF93"/>
    <w:rsid w:val="11EC2645"/>
    <w:rsid w:val="1344AFF4"/>
    <w:rsid w:val="1387F6A6"/>
    <w:rsid w:val="14365270"/>
    <w:rsid w:val="159D2E2C"/>
    <w:rsid w:val="167C50B6"/>
    <w:rsid w:val="176DF332"/>
    <w:rsid w:val="18182117"/>
    <w:rsid w:val="18200E9D"/>
    <w:rsid w:val="185B67C9"/>
    <w:rsid w:val="199ABE83"/>
    <w:rsid w:val="19F7382A"/>
    <w:rsid w:val="1C35A2F9"/>
    <w:rsid w:val="1CF37FC0"/>
    <w:rsid w:val="1D8F17B4"/>
    <w:rsid w:val="1DD1735A"/>
    <w:rsid w:val="1E4CF380"/>
    <w:rsid w:val="1E87629B"/>
    <w:rsid w:val="1F47C385"/>
    <w:rsid w:val="1F6D43BB"/>
    <w:rsid w:val="1FE8C3E1"/>
    <w:rsid w:val="202332FC"/>
    <w:rsid w:val="21C6F0E3"/>
    <w:rsid w:val="21E226AE"/>
    <w:rsid w:val="22635DB8"/>
    <w:rsid w:val="22A4E47D"/>
    <w:rsid w:val="239E1A70"/>
    <w:rsid w:val="24F6A41F"/>
    <w:rsid w:val="24FE91A5"/>
    <w:rsid w:val="2579B6C1"/>
    <w:rsid w:val="26927480"/>
    <w:rsid w:val="26BC4AD4"/>
    <w:rsid w:val="27A47F3C"/>
    <w:rsid w:val="282E44E1"/>
    <w:rsid w:val="2A8A762C"/>
    <w:rsid w:val="2B8FBBF7"/>
    <w:rsid w:val="2D161809"/>
    <w:rsid w:val="2DE3CDE6"/>
    <w:rsid w:val="2DEE9323"/>
    <w:rsid w:val="2E6B04D0"/>
    <w:rsid w:val="300DE243"/>
    <w:rsid w:val="3041444C"/>
    <w:rsid w:val="312633E5"/>
    <w:rsid w:val="32938440"/>
    <w:rsid w:val="3469D9E7"/>
    <w:rsid w:val="350BF308"/>
    <w:rsid w:val="35386F3D"/>
    <w:rsid w:val="3557FC21"/>
    <w:rsid w:val="36687CE3"/>
    <w:rsid w:val="36B085D0"/>
    <w:rsid w:val="37A17AA9"/>
    <w:rsid w:val="3826B85A"/>
    <w:rsid w:val="39323751"/>
    <w:rsid w:val="3ACE07B2"/>
    <w:rsid w:val="3AD9C90E"/>
    <w:rsid w:val="3BA7B0C1"/>
    <w:rsid w:val="3DB98E48"/>
    <w:rsid w:val="3E37ECA0"/>
    <w:rsid w:val="3EDF5183"/>
    <w:rsid w:val="3FD3BD01"/>
    <w:rsid w:val="404EA5AF"/>
    <w:rsid w:val="407B21E4"/>
    <w:rsid w:val="41397FF8"/>
    <w:rsid w:val="416F8D62"/>
    <w:rsid w:val="428CFF6B"/>
    <w:rsid w:val="42C5E587"/>
    <w:rsid w:val="430B5DC3"/>
    <w:rsid w:val="431119BF"/>
    <w:rsid w:val="43B2C2A6"/>
    <w:rsid w:val="43B8DF2C"/>
    <w:rsid w:val="43E4ADBE"/>
    <w:rsid w:val="4428CFCC"/>
    <w:rsid w:val="44507079"/>
    <w:rsid w:val="44A72E24"/>
    <w:rsid w:val="44ACEA20"/>
    <w:rsid w:val="46EB54EF"/>
    <w:rsid w:val="46F250EE"/>
    <w:rsid w:val="47A14430"/>
    <w:rsid w:val="4892E6AC"/>
    <w:rsid w:val="48BF1AE0"/>
    <w:rsid w:val="49805B43"/>
    <w:rsid w:val="49BE2EF5"/>
    <w:rsid w:val="4A5AEB41"/>
    <w:rsid w:val="4A9E75D7"/>
    <w:rsid w:val="4ACD4459"/>
    <w:rsid w:val="4AD8E4F2"/>
    <w:rsid w:val="4B1C2BA4"/>
    <w:rsid w:val="4BBDD48B"/>
    <w:rsid w:val="4BF6BBA2"/>
    <w:rsid w:val="4CB7FC05"/>
    <w:rsid w:val="4D59A4EC"/>
    <w:rsid w:val="4E939856"/>
    <w:rsid w:val="4FEF9CC7"/>
    <w:rsid w:val="502F68B7"/>
    <w:rsid w:val="506CB6FF"/>
    <w:rsid w:val="516B49C7"/>
    <w:rsid w:val="524CD4C9"/>
    <w:rsid w:val="53A457C1"/>
    <w:rsid w:val="54FC58AD"/>
    <w:rsid w:val="557169B4"/>
    <w:rsid w:val="55B86474"/>
    <w:rsid w:val="57E13E4E"/>
    <w:rsid w:val="5826E1E5"/>
    <w:rsid w:val="588B1CBC"/>
    <w:rsid w:val="589D491A"/>
    <w:rsid w:val="5953385B"/>
    <w:rsid w:val="595D334F"/>
    <w:rsid w:val="5983A50C"/>
    <w:rsid w:val="5A139945"/>
    <w:rsid w:val="5A39197B"/>
    <w:rsid w:val="5AC4A588"/>
    <w:rsid w:val="5AEF08BC"/>
    <w:rsid w:val="5B5E82A7"/>
    <w:rsid w:val="5BAF69A6"/>
    <w:rsid w:val="5C8AD91D"/>
    <w:rsid w:val="5CBB45CE"/>
    <w:rsid w:val="5F0A75BA"/>
    <w:rsid w:val="5FF2E690"/>
    <w:rsid w:val="64C19256"/>
    <w:rsid w:val="66622814"/>
    <w:rsid w:val="66FB108A"/>
    <w:rsid w:val="67F93318"/>
    <w:rsid w:val="68C66E23"/>
    <w:rsid w:val="694BABD4"/>
    <w:rsid w:val="69515820"/>
    <w:rsid w:val="697BDB1C"/>
    <w:rsid w:val="6B30D3DA"/>
    <w:rsid w:val="6C86FFA9"/>
    <w:rsid w:val="6CB37BDE"/>
    <w:rsid w:val="6D6A520E"/>
    <w:rsid w:val="6D6A5CA6"/>
    <w:rsid w:val="6F1D34ED"/>
    <w:rsid w:val="6FBEA06B"/>
    <w:rsid w:val="70090A5A"/>
    <w:rsid w:val="71B7E692"/>
    <w:rsid w:val="72F6412D"/>
    <w:rsid w:val="74AC40A2"/>
    <w:rsid w:val="75756E8B"/>
    <w:rsid w:val="762DE1EF"/>
    <w:rsid w:val="76607AAA"/>
    <w:rsid w:val="76738681"/>
    <w:rsid w:val="781C09C5"/>
    <w:rsid w:val="79B7DA26"/>
    <w:rsid w:val="7B2DCF47"/>
    <w:rsid w:val="7B33EBCD"/>
    <w:rsid w:val="7BC2619F"/>
    <w:rsid w:val="7BE4B00F"/>
    <w:rsid w:val="7CE2C805"/>
    <w:rsid w:val="7CE3B98C"/>
    <w:rsid w:val="7E657009"/>
    <w:rsid w:val="7E8B4B49"/>
    <w:rsid w:val="7EE1E1B6"/>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D14F8"/>
  <w15:docId w15:val="{D54EAA00-C4BC-40BA-8E41-4B897FC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759"/>
    <w:pPr>
      <w:spacing w:after="200" w:line="276" w:lineRule="auto"/>
    </w:pPr>
    <w:rPr>
      <w:sz w:val="22"/>
      <w:szCs w:val="22"/>
      <w:lang w:eastAsia="en-US"/>
    </w:rPr>
  </w:style>
  <w:style w:type="paragraph" w:styleId="Nagwek3">
    <w:name w:val="heading 3"/>
    <w:basedOn w:val="Normalny"/>
    <w:link w:val="Nagwek3Znak"/>
    <w:uiPriority w:val="9"/>
    <w:qFormat/>
    <w:rsid w:val="009225D8"/>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sid w:val="009225D8"/>
    <w:rPr>
      <w:rFonts w:ascii="Times New Roman" w:hAnsi="Times New Roman"/>
      <w:b/>
      <w:sz w:val="27"/>
      <w:lang w:eastAsia="pl-PL"/>
    </w:rPr>
  </w:style>
  <w:style w:type="paragraph" w:customStyle="1" w:styleId="Default">
    <w:name w:val="Default"/>
    <w:rsid w:val="00F0429D"/>
    <w:pPr>
      <w:autoSpaceDE w:val="0"/>
      <w:autoSpaceDN w:val="0"/>
      <w:adjustRightInd w:val="0"/>
    </w:pPr>
    <w:rPr>
      <w:rFonts w:ascii="Times New Roman" w:hAnsi="Times New Roman"/>
      <w:color w:val="000000"/>
      <w:sz w:val="24"/>
      <w:szCs w:val="24"/>
      <w:lang w:eastAsia="en-US"/>
    </w:rPr>
  </w:style>
  <w:style w:type="paragraph" w:styleId="Tekstdymka">
    <w:name w:val="Balloon Text"/>
    <w:basedOn w:val="Normalny"/>
    <w:link w:val="TekstdymkaZnak"/>
    <w:uiPriority w:val="99"/>
    <w:semiHidden/>
    <w:unhideWhenUsed/>
    <w:rsid w:val="008418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418E3"/>
    <w:rPr>
      <w:rFonts w:ascii="Tahoma" w:hAnsi="Tahoma"/>
      <w:sz w:val="16"/>
    </w:rPr>
  </w:style>
  <w:style w:type="paragraph" w:styleId="Akapitzlist">
    <w:name w:val="List Paragraph"/>
    <w:basedOn w:val="Normalny"/>
    <w:uiPriority w:val="34"/>
    <w:qFormat/>
    <w:rsid w:val="008418E3"/>
    <w:pPr>
      <w:ind w:left="720"/>
      <w:contextualSpacing/>
    </w:pPr>
  </w:style>
  <w:style w:type="character" w:styleId="Hipercze">
    <w:name w:val="Hyperlink"/>
    <w:basedOn w:val="Domylnaczcionkaakapitu"/>
    <w:uiPriority w:val="99"/>
    <w:unhideWhenUsed/>
    <w:rsid w:val="009225D8"/>
    <w:rPr>
      <w:color w:val="0000FF"/>
      <w:u w:val="single"/>
    </w:rPr>
  </w:style>
  <w:style w:type="character" w:styleId="Pogrubienie">
    <w:name w:val="Strong"/>
    <w:basedOn w:val="Domylnaczcionkaakapitu"/>
    <w:uiPriority w:val="22"/>
    <w:qFormat/>
    <w:rsid w:val="00F7658A"/>
    <w:rPr>
      <w:b/>
    </w:rPr>
  </w:style>
  <w:style w:type="paragraph" w:styleId="Nagwek">
    <w:name w:val="header"/>
    <w:basedOn w:val="Normalny"/>
    <w:link w:val="NagwekZnak"/>
    <w:uiPriority w:val="99"/>
    <w:unhideWhenUsed/>
    <w:rsid w:val="007022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2D1"/>
    <w:rPr>
      <w:sz w:val="22"/>
      <w:szCs w:val="22"/>
      <w:lang w:eastAsia="en-US"/>
    </w:rPr>
  </w:style>
  <w:style w:type="paragraph" w:styleId="Stopka">
    <w:name w:val="footer"/>
    <w:basedOn w:val="Normalny"/>
    <w:link w:val="StopkaZnak"/>
    <w:uiPriority w:val="99"/>
    <w:unhideWhenUsed/>
    <w:rsid w:val="007022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2D1"/>
    <w:rPr>
      <w:sz w:val="22"/>
      <w:szCs w:val="22"/>
      <w:lang w:eastAsia="en-US"/>
    </w:rPr>
  </w:style>
  <w:style w:type="character" w:styleId="Uwydatnienie">
    <w:name w:val="Emphasis"/>
    <w:basedOn w:val="Domylnaczcionkaakapitu"/>
    <w:uiPriority w:val="20"/>
    <w:qFormat/>
    <w:rsid w:val="0093385C"/>
    <w:rPr>
      <w:i/>
      <w:iCs/>
    </w:rPr>
  </w:style>
  <w:style w:type="table" w:styleId="Tabela-Siatka">
    <w:name w:val="Table Grid"/>
    <w:basedOn w:val="Standardowy"/>
    <w:uiPriority w:val="59"/>
    <w:rsid w:val="00436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B4653"/>
    <w:rPr>
      <w:sz w:val="16"/>
      <w:szCs w:val="16"/>
    </w:rPr>
  </w:style>
  <w:style w:type="paragraph" w:styleId="Tekstkomentarza">
    <w:name w:val="annotation text"/>
    <w:basedOn w:val="Normalny"/>
    <w:link w:val="TekstkomentarzaZnak"/>
    <w:uiPriority w:val="99"/>
    <w:semiHidden/>
    <w:unhideWhenUsed/>
    <w:rsid w:val="00DB46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4653"/>
    <w:rPr>
      <w:lang w:eastAsia="en-US"/>
    </w:rPr>
  </w:style>
  <w:style w:type="paragraph" w:styleId="Tematkomentarza">
    <w:name w:val="annotation subject"/>
    <w:basedOn w:val="Tekstkomentarza"/>
    <w:next w:val="Tekstkomentarza"/>
    <w:link w:val="TematkomentarzaZnak"/>
    <w:uiPriority w:val="99"/>
    <w:semiHidden/>
    <w:unhideWhenUsed/>
    <w:rsid w:val="00DB4653"/>
    <w:rPr>
      <w:b/>
      <w:bCs/>
    </w:rPr>
  </w:style>
  <w:style w:type="character" w:customStyle="1" w:styleId="TematkomentarzaZnak">
    <w:name w:val="Temat komentarza Znak"/>
    <w:basedOn w:val="TekstkomentarzaZnak"/>
    <w:link w:val="Tematkomentarza"/>
    <w:uiPriority w:val="99"/>
    <w:semiHidden/>
    <w:rsid w:val="00DB4653"/>
    <w:rPr>
      <w:b/>
      <w:bCs/>
      <w:lang w:eastAsia="en-US"/>
    </w:rPr>
  </w:style>
  <w:style w:type="paragraph" w:styleId="NormalnyWeb">
    <w:name w:val="Normal (Web)"/>
    <w:basedOn w:val="Normalny"/>
    <w:uiPriority w:val="99"/>
    <w:unhideWhenUsed/>
    <w:rsid w:val="00071FA7"/>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79959">
      <w:marLeft w:val="0"/>
      <w:marRight w:val="0"/>
      <w:marTop w:val="0"/>
      <w:marBottom w:val="0"/>
      <w:divBdr>
        <w:top w:val="none" w:sz="0" w:space="0" w:color="auto"/>
        <w:left w:val="none" w:sz="0" w:space="0" w:color="auto"/>
        <w:bottom w:val="none" w:sz="0" w:space="0" w:color="auto"/>
        <w:right w:val="none" w:sz="0" w:space="0" w:color="auto"/>
      </w:divBdr>
    </w:div>
    <w:div w:id="1026979960">
      <w:marLeft w:val="0"/>
      <w:marRight w:val="0"/>
      <w:marTop w:val="0"/>
      <w:marBottom w:val="0"/>
      <w:divBdr>
        <w:top w:val="none" w:sz="0" w:space="0" w:color="auto"/>
        <w:left w:val="none" w:sz="0" w:space="0" w:color="auto"/>
        <w:bottom w:val="none" w:sz="0" w:space="0" w:color="auto"/>
        <w:right w:val="none" w:sz="0" w:space="0" w:color="auto"/>
      </w:divBdr>
    </w:div>
    <w:div w:id="1151215146">
      <w:bodyDiv w:val="1"/>
      <w:marLeft w:val="0"/>
      <w:marRight w:val="0"/>
      <w:marTop w:val="0"/>
      <w:marBottom w:val="0"/>
      <w:divBdr>
        <w:top w:val="none" w:sz="0" w:space="0" w:color="auto"/>
        <w:left w:val="none" w:sz="0" w:space="0" w:color="auto"/>
        <w:bottom w:val="none" w:sz="0" w:space="0" w:color="auto"/>
        <w:right w:val="none" w:sz="0" w:space="0" w:color="auto"/>
      </w:divBdr>
    </w:div>
    <w:div w:id="1352682482">
      <w:bodyDiv w:val="1"/>
      <w:marLeft w:val="0"/>
      <w:marRight w:val="0"/>
      <w:marTop w:val="0"/>
      <w:marBottom w:val="0"/>
      <w:divBdr>
        <w:top w:val="none" w:sz="0" w:space="0" w:color="auto"/>
        <w:left w:val="none" w:sz="0" w:space="0" w:color="auto"/>
        <w:bottom w:val="none" w:sz="0" w:space="0" w:color="auto"/>
        <w:right w:val="none" w:sz="0" w:space="0" w:color="auto"/>
      </w:divBdr>
    </w:div>
    <w:div w:id="14545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u.edu.pl/__data/assets/pdf_file/0034/605968/ZR-5-2023-20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aca-ibmib@amu.edu.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sites/default/files/pliki/uchwaly-rady/2019/uchwala25_2019-zal1.pdf" TargetMode="External"/><Relationship Id="rId5" Type="http://schemas.openxmlformats.org/officeDocument/2006/relationships/numbering" Target="numbering.xml"/><Relationship Id="rId15" Type="http://schemas.openxmlformats.org/officeDocument/2006/relationships/hyperlink" Target="https://amu.edu.pl/__data/assets/pdf_file/0031/605965/Klauzula-informacyjna-sygnalisci.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u.edu.pl/__data/assets/pdf_file/0030/605964/Regulamin-zglosz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0BCD660458561439EBDADD7D4C781B9" ma:contentTypeVersion="15" ma:contentTypeDescription="Utwórz nowy dokument." ma:contentTypeScope="" ma:versionID="ecc2f7581c7650f47f1d93a68381356a">
  <xsd:schema xmlns:xsd="http://www.w3.org/2001/XMLSchema" xmlns:xs="http://www.w3.org/2001/XMLSchema" xmlns:p="http://schemas.microsoft.com/office/2006/metadata/properties" xmlns:ns1="http://schemas.microsoft.com/sharepoint/v3" xmlns:ns3="5f3c56b4-50ca-4acb-8367-968976c5f379" xmlns:ns4="47726cec-5d5e-48aa-a66f-3dd7db9be29b" targetNamespace="http://schemas.microsoft.com/office/2006/metadata/properties" ma:root="true" ma:fieldsID="14c09f32f6ea0666f5ea1cc388ac9432" ns1:_="" ns3:_="" ns4:_="">
    <xsd:import namespace="http://schemas.microsoft.com/sharepoint/v3"/>
    <xsd:import namespace="5f3c56b4-50ca-4acb-8367-968976c5f379"/>
    <xsd:import namespace="47726cec-5d5e-48aa-a66f-3dd7db9be2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c56b4-50ca-4acb-8367-968976c5f3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26cec-5d5e-48aa-a66f-3dd7db9be2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F401C-5242-42C1-A7BE-8EA1599872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7C01E8-92DC-4D2A-A67C-2AA7D95012AF}">
  <ds:schemaRefs>
    <ds:schemaRef ds:uri="http://schemas.openxmlformats.org/officeDocument/2006/bibliography"/>
  </ds:schemaRefs>
</ds:datastoreItem>
</file>

<file path=customXml/itemProps3.xml><?xml version="1.0" encoding="utf-8"?>
<ds:datastoreItem xmlns:ds="http://schemas.openxmlformats.org/officeDocument/2006/customXml" ds:itemID="{28D5B32B-503C-4AE7-A353-794E5732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3c56b4-50ca-4acb-8367-968976c5f379"/>
    <ds:schemaRef ds:uri="47726cec-5d5e-48aa-a66f-3dd7db9b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8D4D8-98D7-44A3-BF01-8B051E4CF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6644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Zimmermann</dc:creator>
  <cp:lastModifiedBy>Iwona Kanonik-Jędrzejak</cp:lastModifiedBy>
  <cp:revision>5</cp:revision>
  <cp:lastPrinted>2016-12-29T09:31:00Z</cp:lastPrinted>
  <dcterms:created xsi:type="dcterms:W3CDTF">2025-10-29T06:10:00Z</dcterms:created>
  <dcterms:modified xsi:type="dcterms:W3CDTF">2025-11-04T08:15:00Z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0x01010040BCD660458561439EBDADD7D4C781B9</vt:lpwstr>
  </property>
</Properties>
</file>